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FA" w:rsidRPr="00122C16" w:rsidRDefault="00F829FA" w:rsidP="00F829FA">
      <w:pPr>
        <w:pStyle w:val="Textoindependiente2"/>
        <w:rPr>
          <w:sz w:val="24"/>
        </w:rPr>
      </w:pPr>
      <w:r w:rsidRPr="00122C16">
        <w:rPr>
          <w:sz w:val="24"/>
        </w:rPr>
        <w:t>ACTO LEGISLATIVO</w:t>
      </w:r>
    </w:p>
    <w:p w:rsidR="00F829FA" w:rsidRPr="00122C16" w:rsidRDefault="00F829FA" w:rsidP="00F829FA">
      <w:pPr>
        <w:pStyle w:val="Textoindependiente2"/>
        <w:rPr>
          <w:sz w:val="24"/>
        </w:rPr>
      </w:pPr>
    </w:p>
    <w:p w:rsidR="00F829FA" w:rsidRPr="00122C16" w:rsidRDefault="00B2345A" w:rsidP="00F829FA">
      <w:pPr>
        <w:pStyle w:val="Textoindependiente2"/>
        <w:rPr>
          <w:sz w:val="24"/>
        </w:rPr>
      </w:pPr>
      <w:r>
        <w:rPr>
          <w:sz w:val="24"/>
        </w:rPr>
        <w:t>No.____________________________________</w:t>
      </w:r>
    </w:p>
    <w:p w:rsidR="00E30583" w:rsidRPr="00122C16" w:rsidRDefault="00E30583" w:rsidP="003F754F">
      <w:pPr>
        <w:pStyle w:val="Textoindependiente2"/>
        <w:jc w:val="left"/>
        <w:rPr>
          <w:sz w:val="24"/>
        </w:rPr>
      </w:pPr>
    </w:p>
    <w:p w:rsidR="00E30583" w:rsidRPr="00122C16" w:rsidRDefault="00E30583">
      <w:pPr>
        <w:pStyle w:val="Textoindependiente2"/>
        <w:rPr>
          <w:sz w:val="24"/>
        </w:rPr>
      </w:pPr>
    </w:p>
    <w:p w:rsidR="0074605E" w:rsidRPr="00B2345A" w:rsidRDefault="00B2345A" w:rsidP="00B2345A">
      <w:pPr>
        <w:pStyle w:val="Textoindependiente2"/>
        <w:rPr>
          <w:sz w:val="24"/>
        </w:rPr>
      </w:pPr>
      <w:r w:rsidRPr="00B2345A">
        <w:rPr>
          <w:sz w:val="24"/>
        </w:rPr>
        <w:t>POR MEDIO DEL CUAL SE CREAN 16 CIRCUNSCRIPCIONES TRANSITORIAS ESPECIALES DE PAZ PARA LA CÁMARA DE REP</w:t>
      </w:r>
      <w:r w:rsidR="000C79EA">
        <w:rPr>
          <w:sz w:val="24"/>
        </w:rPr>
        <w:t>RESENTANTES EN LOS PERÍODOS 2022-2026</w:t>
      </w:r>
      <w:r w:rsidRPr="00B2345A">
        <w:rPr>
          <w:sz w:val="24"/>
        </w:rPr>
        <w:t xml:space="preserve"> Y 202</w:t>
      </w:r>
      <w:r w:rsidR="000C79EA">
        <w:rPr>
          <w:sz w:val="24"/>
        </w:rPr>
        <w:t>6</w:t>
      </w:r>
      <w:r w:rsidRPr="00B2345A">
        <w:rPr>
          <w:sz w:val="24"/>
        </w:rPr>
        <w:t>-20</w:t>
      </w:r>
      <w:r w:rsidR="000C79EA">
        <w:rPr>
          <w:sz w:val="24"/>
        </w:rPr>
        <w:t>30</w:t>
      </w:r>
      <w:r w:rsidRPr="00B2345A">
        <w:rPr>
          <w:sz w:val="24"/>
        </w:rPr>
        <w:t>.</w:t>
      </w:r>
    </w:p>
    <w:p w:rsidR="00AB3548" w:rsidRPr="00122C16" w:rsidRDefault="00AB3548" w:rsidP="00AB3548">
      <w:pPr>
        <w:jc w:val="center"/>
        <w:rPr>
          <w:rFonts w:ascii="Arial" w:hAnsi="Arial" w:cs="Arial"/>
          <w:b/>
          <w:color w:val="000000"/>
          <w:lang w:val="es-ES_tradnl"/>
        </w:rPr>
      </w:pPr>
    </w:p>
    <w:p w:rsidR="0033751A" w:rsidRPr="00122C16" w:rsidRDefault="0033751A" w:rsidP="00AB3548">
      <w:pPr>
        <w:jc w:val="center"/>
        <w:rPr>
          <w:rFonts w:ascii="Arial" w:hAnsi="Arial" w:cs="Arial"/>
          <w:b/>
          <w:color w:val="000000"/>
          <w:lang w:val="es-ES_tradnl"/>
        </w:rPr>
      </w:pPr>
    </w:p>
    <w:p w:rsidR="00B2345A" w:rsidRDefault="00B2345A" w:rsidP="003F7AD9">
      <w:pPr>
        <w:pStyle w:val="Textoindependiente2"/>
        <w:rPr>
          <w:sz w:val="24"/>
        </w:rPr>
      </w:pPr>
      <w:r>
        <w:rPr>
          <w:sz w:val="24"/>
        </w:rPr>
        <w:t>El CONGRESO DE COLOMBIA</w:t>
      </w:r>
    </w:p>
    <w:p w:rsidR="00B2345A" w:rsidRDefault="00B2345A" w:rsidP="003F7AD9">
      <w:pPr>
        <w:pStyle w:val="Textoindependiente2"/>
        <w:rPr>
          <w:sz w:val="24"/>
        </w:rPr>
      </w:pPr>
    </w:p>
    <w:p w:rsidR="00C3207C" w:rsidRDefault="00C3207C" w:rsidP="003F7AD9">
      <w:pPr>
        <w:pStyle w:val="Textoindependiente2"/>
        <w:rPr>
          <w:sz w:val="24"/>
        </w:rPr>
      </w:pPr>
    </w:p>
    <w:p w:rsidR="003F7AD9" w:rsidRPr="00122C16" w:rsidRDefault="00B2345A" w:rsidP="003F7AD9">
      <w:pPr>
        <w:pStyle w:val="Textoindependiente2"/>
        <w:rPr>
          <w:sz w:val="24"/>
        </w:rPr>
      </w:pPr>
      <w:r>
        <w:rPr>
          <w:sz w:val="24"/>
        </w:rPr>
        <w:t xml:space="preserve"> E</w:t>
      </w:r>
      <w:r w:rsidR="003F7AD9" w:rsidRPr="00122C16">
        <w:rPr>
          <w:sz w:val="24"/>
        </w:rPr>
        <w:t>n virtud del Procedimiento Legislativo Especial para la Paz.</w:t>
      </w:r>
    </w:p>
    <w:p w:rsidR="00E30583" w:rsidRPr="00122C16" w:rsidRDefault="00E30583">
      <w:pPr>
        <w:jc w:val="center"/>
        <w:rPr>
          <w:rFonts w:ascii="Arial" w:hAnsi="Arial" w:cs="Arial"/>
        </w:rPr>
      </w:pPr>
    </w:p>
    <w:p w:rsidR="00347549" w:rsidRPr="00122C16" w:rsidRDefault="00895E85" w:rsidP="00895E85">
      <w:pPr>
        <w:adjustRightInd w:val="0"/>
        <w:spacing w:before="28" w:after="11" w:line="288" w:lineRule="auto"/>
        <w:ind w:firstLine="283"/>
        <w:jc w:val="center"/>
        <w:textAlignment w:val="center"/>
        <w:rPr>
          <w:rFonts w:ascii="Arial" w:hAnsi="Arial" w:cs="Arial"/>
          <w:color w:val="000000"/>
          <w:spacing w:val="4"/>
          <w:lang w:val="es-ES_tradnl"/>
        </w:rPr>
      </w:pPr>
      <w:r w:rsidRPr="00122C16">
        <w:rPr>
          <w:rFonts w:ascii="Arial" w:hAnsi="Arial" w:cs="Arial"/>
          <w:b/>
          <w:color w:val="000000"/>
          <w:spacing w:val="4"/>
          <w:lang w:val="es-ES_tradnl"/>
        </w:rPr>
        <w:t>DECRETA</w:t>
      </w:r>
      <w:r w:rsidRPr="00122C16">
        <w:rPr>
          <w:rFonts w:ascii="Arial" w:hAnsi="Arial" w:cs="Arial"/>
          <w:color w:val="000000"/>
          <w:spacing w:val="4"/>
          <w:lang w:val="es-ES_tradnl"/>
        </w:rPr>
        <w:t>:</w:t>
      </w:r>
    </w:p>
    <w:p w:rsidR="00CE35E6" w:rsidRPr="00122C16" w:rsidRDefault="00B2345A" w:rsidP="00895E85">
      <w:pPr>
        <w:adjustRightInd w:val="0"/>
        <w:spacing w:before="28" w:after="11" w:line="288" w:lineRule="auto"/>
        <w:ind w:firstLine="283"/>
        <w:jc w:val="center"/>
        <w:textAlignment w:val="center"/>
        <w:rPr>
          <w:rFonts w:ascii="Arial" w:hAnsi="Arial" w:cs="Arial"/>
          <w:color w:val="000000"/>
          <w:spacing w:val="4"/>
          <w:lang w:val="es-ES_tradnl"/>
        </w:rPr>
      </w:pPr>
      <w:r>
        <w:rPr>
          <w:rFonts w:ascii="Arial" w:hAnsi="Arial" w:cs="Arial"/>
          <w:color w:val="000000"/>
          <w:spacing w:val="4"/>
          <w:lang w:val="es-ES_tradnl"/>
        </w:rPr>
        <w:t xml:space="preserve"> </w:t>
      </w:r>
      <w:r>
        <w:rPr>
          <w:rFonts w:ascii="Arial" w:hAnsi="Arial" w:cs="Arial"/>
          <w:color w:val="000000"/>
          <w:spacing w:val="4"/>
          <w:lang w:val="es-ES_tradnl"/>
        </w:rPr>
        <w:tab/>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Artículo 1°.</w:t>
      </w:r>
      <w:r w:rsidRPr="00B2345A">
        <w:rPr>
          <w:rFonts w:ascii="Arial" w:eastAsia="Calibri" w:hAnsi="Arial" w:cs="Arial"/>
          <w:color w:val="000000"/>
          <w:lang w:val="es-ES_tradnl" w:eastAsia="en-US"/>
        </w:rPr>
        <w:t xml:space="preserve"> La Constitución Política tendrá los siguientes nuevos artículos transitorios: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 xml:space="preserve">Artículo transitorio 1º. </w:t>
      </w:r>
      <w:r w:rsidRPr="00B2345A">
        <w:rPr>
          <w:rFonts w:ascii="Arial" w:eastAsia="Calibri" w:hAnsi="Arial" w:cs="Arial"/>
          <w:b/>
          <w:bCs/>
          <w:i/>
          <w:iCs/>
          <w:color w:val="000000"/>
          <w:lang w:val="es-ES_tradnl" w:eastAsia="en-US"/>
        </w:rPr>
        <w:t>Creación de Circunscripciones Transitorios Especiales de Paz</w:t>
      </w:r>
      <w:r w:rsidRPr="00B2345A">
        <w:rPr>
          <w:rFonts w:ascii="Arial" w:eastAsia="Calibri" w:hAnsi="Arial" w:cs="Arial"/>
          <w:b/>
          <w:bCs/>
          <w:color w:val="000000"/>
          <w:lang w:val="es-ES_tradnl" w:eastAsia="en-US"/>
        </w:rPr>
        <w:t>.</w:t>
      </w:r>
      <w:r w:rsidRPr="00B2345A">
        <w:rPr>
          <w:rFonts w:ascii="Arial" w:eastAsia="Calibri" w:hAnsi="Arial" w:cs="Arial"/>
          <w:color w:val="000000"/>
          <w:lang w:val="es-ES_tradnl" w:eastAsia="en-US"/>
        </w:rPr>
        <w:t xml:space="preserve"> La Cámara de Representantes tendrá 16 representantes adicionales para los períodos consti</w:t>
      </w:r>
      <w:r w:rsidR="000C79EA">
        <w:rPr>
          <w:rFonts w:ascii="Arial" w:eastAsia="Calibri" w:hAnsi="Arial" w:cs="Arial"/>
          <w:color w:val="000000"/>
          <w:lang w:val="es-ES_tradnl" w:eastAsia="en-US"/>
        </w:rPr>
        <w:t>tucionales 2022-2026 y 2026-2030</w:t>
      </w:r>
      <w:r w:rsidRPr="00B2345A">
        <w:rPr>
          <w:rFonts w:ascii="Arial" w:eastAsia="Calibri" w:hAnsi="Arial" w:cs="Arial"/>
          <w:color w:val="000000"/>
          <w:lang w:val="es-ES_tradnl" w:eastAsia="en-US"/>
        </w:rPr>
        <w:t xml:space="preserve">, estos serán elegidos en igual número de Circunscripciones Transitorias Especiales de Paz, uno por cada una de dichas Circunscripciones. La curul se asignará al candidato de la lista con mayor cantidad de votos. </w:t>
      </w:r>
      <w:r w:rsidR="00934E99">
        <w:rPr>
          <w:rFonts w:ascii="Arial" w:eastAsia="Calibri" w:hAnsi="Arial" w:cs="Arial"/>
          <w:color w:val="000000"/>
          <w:lang w:val="es-ES_tradnl" w:eastAsia="en-US"/>
        </w:rPr>
        <w:t>Las listas deberán elaborarse teniendo en cuenta el principio de equidad e igualdad de género.</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 xml:space="preserve">Artículo transitorio 2º. </w:t>
      </w:r>
      <w:r w:rsidRPr="00B2345A">
        <w:rPr>
          <w:rFonts w:ascii="Arial" w:eastAsia="Calibri" w:hAnsi="Arial" w:cs="Arial"/>
          <w:b/>
          <w:bCs/>
          <w:i/>
          <w:iCs/>
          <w:color w:val="000000"/>
          <w:lang w:val="es-ES_tradnl" w:eastAsia="en-US"/>
        </w:rPr>
        <w:t>Conformación</w:t>
      </w:r>
      <w:r w:rsidRPr="00B2345A">
        <w:rPr>
          <w:rFonts w:ascii="Arial" w:eastAsia="Calibri" w:hAnsi="Arial" w:cs="Arial"/>
          <w:b/>
          <w:bCs/>
          <w:color w:val="000000"/>
          <w:lang w:val="es-ES_tradnl" w:eastAsia="en-US"/>
        </w:rPr>
        <w:t>.</w:t>
      </w:r>
      <w:r w:rsidRPr="00B2345A">
        <w:rPr>
          <w:rFonts w:ascii="Arial" w:eastAsia="Calibri" w:hAnsi="Arial" w:cs="Arial"/>
          <w:color w:val="000000"/>
          <w:lang w:val="es-ES_tradnl" w:eastAsia="en-US"/>
        </w:rPr>
        <w:t xml:space="preserve"> Las mencionadas Circunscripciones Transitorias Especiales de Paz estarán conformadas así:</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1</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Cauca: Argelia, Balboa, Buenos Aires, Caldono, Caloto, Cajibío, Corinto, El Tambo, Jambaló, Mercaderes, Morales, Miranda, Patía, Piendamó, Santander de Quilichao, Suárez y Toribío. Municipios de Nariño: Cumbitara, El Rosario, Leiva, Los Andes, Policarpa y los municipios de Florida y Pradera, Valle del Cauca.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2</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Conformada por Arauquita, Fortul, Saravena y Tame. Departamento de Arauca.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3</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departamento de Antioquia: Amalfi, Anorí, Briceño, Cáceres, Caucasia, El Bagre, Ituango, Nechí, Remedios, Segovia, Tarazá, Valdivia, Zaragoza.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4</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Constituida por 8 municipios de Norte de Santander: Convención, El Carmen, El Tarra, Hacarí, San Calixto, Sardinata, Teorama y Tibú.</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5</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 xml:space="preserve">Municipios del departamento del Caquetá: Florencia, Albania, Belén de los Andaquíes, Cartagena del Chairá, Curillo, El Doncello, El Paujil, Montañita, </w:t>
      </w:r>
    </w:p>
    <w:p w:rsidR="00B2345A" w:rsidRDefault="00B2345A" w:rsidP="00B2345A">
      <w:pPr>
        <w:suppressAutoHyphens/>
        <w:autoSpaceDE w:val="0"/>
        <w:autoSpaceDN w:val="0"/>
        <w:adjustRightInd w:val="0"/>
        <w:spacing w:after="28" w:line="260" w:lineRule="atLeast"/>
        <w:ind w:right="49"/>
        <w:jc w:val="both"/>
        <w:rPr>
          <w:rFonts w:ascii="Arial" w:eastAsia="Calibri" w:hAnsi="Arial" w:cs="Arial"/>
          <w:color w:val="000000"/>
          <w:lang w:val="es-ES_tradnl" w:eastAsia="en-US"/>
        </w:rPr>
      </w:pPr>
    </w:p>
    <w:p w:rsidR="00B2345A" w:rsidRDefault="00B2345A" w:rsidP="00B2345A">
      <w:pPr>
        <w:suppressAutoHyphens/>
        <w:autoSpaceDE w:val="0"/>
        <w:autoSpaceDN w:val="0"/>
        <w:adjustRightInd w:val="0"/>
        <w:spacing w:after="28" w:line="260" w:lineRule="atLeast"/>
        <w:ind w:right="49"/>
        <w:jc w:val="both"/>
        <w:rPr>
          <w:rFonts w:ascii="Arial" w:eastAsia="Calibri" w:hAnsi="Arial" w:cs="Arial"/>
          <w:color w:val="000000"/>
          <w:lang w:val="es-ES_tradnl" w:eastAsia="en-US"/>
        </w:rPr>
      </w:pPr>
    </w:p>
    <w:p w:rsidR="00B2345A" w:rsidRDefault="00B2345A" w:rsidP="00B2345A">
      <w:pPr>
        <w:suppressAutoHyphens/>
        <w:autoSpaceDE w:val="0"/>
        <w:autoSpaceDN w:val="0"/>
        <w:adjustRightInd w:val="0"/>
        <w:spacing w:after="28" w:line="260" w:lineRule="atLeast"/>
        <w:ind w:right="49"/>
        <w:jc w:val="both"/>
        <w:rPr>
          <w:rFonts w:ascii="Arial" w:eastAsia="Calibri" w:hAnsi="Arial" w:cs="Arial"/>
          <w:color w:val="000000"/>
          <w:lang w:val="es-ES_tradnl" w:eastAsia="en-US"/>
        </w:rPr>
      </w:pPr>
    </w:p>
    <w:p w:rsidR="00B2345A" w:rsidRPr="00B2345A" w:rsidRDefault="00B2345A" w:rsidP="00B2345A">
      <w:pPr>
        <w:suppressAutoHyphens/>
        <w:autoSpaceDE w:val="0"/>
        <w:autoSpaceDN w:val="0"/>
        <w:adjustRightInd w:val="0"/>
        <w:spacing w:after="28" w:line="260" w:lineRule="atLeast"/>
        <w:ind w:right="49"/>
        <w:jc w:val="both"/>
        <w:rPr>
          <w:rFonts w:ascii="Arial" w:hAnsi="Arial" w:cs="Arial"/>
        </w:rPr>
      </w:pPr>
      <w:r w:rsidRPr="00B2345A">
        <w:rPr>
          <w:rFonts w:ascii="Arial" w:eastAsia="Calibri" w:hAnsi="Arial" w:cs="Arial"/>
          <w:color w:val="000000"/>
          <w:lang w:val="es-ES_tradnl" w:eastAsia="en-US"/>
        </w:rPr>
        <w:t>Milán, Morelia, Puerto Rico, San José de Fragua, San Vicente del Caguán, Solano, Solita y Valparaíso, y el municipio de Algeciras del departamento del Huila.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 </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6</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departamento de Chocó: Bojayá, Medio Atrato, Istmina, Medio San Juan, Litoral de San Juan, Novita, Sipí, Acandí, Carmen del Darién, Riosucio, Unguía, Condoto y dos municipios de Antioquia, Vigía del Fuerte y Murindó.</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7</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departamento del Meta: Mapiripán, Mesetas, La Macarena, Uribe, Puerto Concordia, Puerto Lleras, Puerto Rico y Vistahermosa y 4 municipios del departamento del Guaviare, San José del Guaviare, Calamar, El Retorno y Miraflores.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8</w:t>
      </w:r>
    </w:p>
    <w:p w:rsidR="00B2345A" w:rsidRDefault="00B2345A" w:rsidP="00B2345A">
      <w:pPr>
        <w:suppressAutoHyphens/>
        <w:autoSpaceDE w:val="0"/>
        <w:autoSpaceDN w:val="0"/>
        <w:adjustRightInd w:val="0"/>
        <w:spacing w:after="28" w:line="260" w:lineRule="atLeast"/>
        <w:ind w:right="49" w:firstLine="283"/>
        <w:jc w:val="both"/>
        <w:rPr>
          <w:rFonts w:ascii="Arial" w:hAnsi="Arial" w:cs="Arial"/>
          <w:color w:val="000000"/>
          <w:lang w:val="es-ES_tradnl" w:eastAsia="en-US"/>
        </w:rPr>
      </w:pPr>
      <w:r w:rsidRPr="00B2345A">
        <w:rPr>
          <w:rFonts w:ascii="Arial" w:hAnsi="Arial" w:cs="Arial"/>
          <w:color w:val="000000"/>
          <w:lang w:val="es-ES_tradnl" w:eastAsia="en-US"/>
        </w:rPr>
        <w:t>Municipios del departamento de Bolívar: Córdoba, El Carmen de Bolívar, El Guamo, María La Baja, San Jacinto, San Juan de Nepomuceno y Zambrano. Municipios de Sucre: Colosó, Chalán, Los Palmitos, Morroa, Ovejas, Palmito, San Onofre y Toluviejo.</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9</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Cauca: Guapi, López de Micay y Timbiquí, Buenaventura, del departamento del Valle del Cauca.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10</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Está constituida por 11 municipios del departamento de Nariño: Barbacoas, El Charco, La Tola, Maguí, Mosquera, Olaya Herrera, Francisco Pizarro, Ricaurte, Roberto Payán, Santa Bárbara y Tumaco.</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11</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departamento del Putumayo: Orito, Puerto Asís, Puerto Caicedo, Puerto Guzmán, Puerto Leguízamo, San Miguel, Valle del Guamuez y Villagarzón.</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12</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w:t>
      </w:r>
      <w:r w:rsidR="0033751A">
        <w:rPr>
          <w:rFonts w:ascii="Arial" w:eastAsia="Calibri" w:hAnsi="Arial" w:cs="Arial"/>
          <w:color w:val="000000"/>
          <w:lang w:val="es-ES_tradnl" w:eastAsia="en-US"/>
        </w:rPr>
        <w:t xml:space="preserve"> del Cesar: Agustín Codazzi, Be</w:t>
      </w:r>
      <w:r w:rsidRPr="00B2345A">
        <w:rPr>
          <w:rFonts w:ascii="Arial" w:eastAsia="Calibri" w:hAnsi="Arial" w:cs="Arial"/>
          <w:color w:val="000000"/>
          <w:lang w:val="es-ES_tradnl" w:eastAsia="en-US"/>
        </w:rPr>
        <w:t>cerril, La Jagua de Ibirico, La Paz Pueblo Bello y Valledupar. Municipios de La Guajira: Dibulla, Fonseca, San Juan del Cesar. Municipios del Magdalena: Aracataca, Ciénaga, Fundación y Santa Marta</w:t>
      </w:r>
      <w:r>
        <w:rPr>
          <w:rFonts w:ascii="Arial" w:eastAsia="Calibri" w:hAnsi="Arial" w:cs="Arial"/>
          <w:color w:val="000000"/>
          <w:lang w:val="es-ES_tradnl" w:eastAsia="en-US"/>
        </w:rPr>
        <w:t>.</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13</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departamento de Bolívar: Arenal, Cantagallo, Morales, San Pablo, Santa Rosa del Sur y Simití y el municipio de Yondó del departamento de Antioquia.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14</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 Córdoba: Puerto Libertador, San José de Uré, Valencia, Tierralta y Montelíbano.</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lastRenderedPageBreak/>
        <w:t>Circunscripción 15</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departamento del Tolima: Ataco, Chaparral, Planadas y Rioblanco.</w:t>
      </w:r>
    </w:p>
    <w:p w:rsidR="000841FB" w:rsidRPr="00B2345A" w:rsidRDefault="000841FB"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Circunscripción 16</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Municipios del departamento de Antioquia: Carepa, Chigorodó, Dabeiba, Mutatá, Necoclí, San Pedro de Urabá, Apartadó y Turbo.</w:t>
      </w:r>
    </w:p>
    <w:p w:rsidR="0033751A" w:rsidRPr="00B2345A" w:rsidRDefault="0033751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100" w:afterAutospacing="1" w:line="260" w:lineRule="atLeast"/>
        <w:ind w:right="49" w:firstLine="283"/>
        <w:jc w:val="both"/>
        <w:rPr>
          <w:rFonts w:ascii="Arial" w:hAnsi="Arial" w:cs="Arial"/>
        </w:rPr>
      </w:pPr>
      <w:r w:rsidRPr="0033751A">
        <w:rPr>
          <w:rFonts w:ascii="Arial" w:eastAsia="Calibri" w:hAnsi="Arial" w:cs="Arial"/>
          <w:b/>
          <w:color w:val="000000"/>
          <w:lang w:val="es-ES_tradnl" w:eastAsia="en-US"/>
        </w:rPr>
        <w:t>Parágrafo</w:t>
      </w:r>
      <w:r w:rsidRPr="00B2345A">
        <w:rPr>
          <w:rFonts w:ascii="Arial" w:eastAsia="Calibri" w:hAnsi="Arial" w:cs="Arial"/>
          <w:color w:val="000000"/>
          <w:lang w:val="es-ES_tradnl" w:eastAsia="en-US"/>
        </w:rPr>
        <w:t xml:space="preserve">. </w:t>
      </w:r>
      <w:r w:rsidR="0033751A" w:rsidRPr="0033751A">
        <w:rPr>
          <w:rFonts w:ascii="Arial" w:eastAsia="Calibri" w:hAnsi="Arial" w:cs="Arial"/>
          <w:color w:val="000000"/>
          <w:lang w:val="es-ES_tradnl" w:eastAsia="en-US"/>
        </w:rPr>
        <w:t>Para   las   elecciones   de   las 16 Circunscripciones Especiales de Paz, se excluirán las cabeceras municipales de estas circunscripciones que  superen  los  10.000 ciudadanos aptos para votar. Únicamente se habilitarán los puestos de votación y el censo electoral de la zona rural de estos. Se garantizará la participación de los habitantes de zonas rurales, apartadas y centros poblados dispersos de estas Circunscripciones para lo cual la Registraduría Nacional del Estado Civil deberá crear nuevos puestos de votación en dichas zonas.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 xml:space="preserve">Artículo transitorio 3º. </w:t>
      </w:r>
      <w:r w:rsidRPr="00B2345A">
        <w:rPr>
          <w:rFonts w:ascii="Arial" w:eastAsia="Calibri" w:hAnsi="Arial" w:cs="Arial"/>
          <w:b/>
          <w:bCs/>
          <w:i/>
          <w:iCs/>
          <w:color w:val="000000"/>
          <w:lang w:val="es-ES_tradnl" w:eastAsia="en-US"/>
        </w:rPr>
        <w:t>Inscripción de candidatos</w:t>
      </w:r>
      <w:r w:rsidRPr="00B2345A">
        <w:rPr>
          <w:rFonts w:ascii="Arial" w:eastAsia="Calibri" w:hAnsi="Arial" w:cs="Arial"/>
          <w:color w:val="000000"/>
          <w:lang w:val="es-ES_tradnl" w:eastAsia="en-US"/>
        </w:rPr>
        <w:t>. 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Los candidatos solo pueden ser inscritos por organizaciones de víctimas, organizaciones campesinas u organizaciones sociales, incluyendo las de las mujeres, y grupos significativos de ciudadanos.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 xml:space="preserve">Cuando la circunscripción coincida en todo o en parte con territorios </w:t>
      </w:r>
      <w:r w:rsidRPr="00B2345A">
        <w:rPr>
          <w:rFonts w:ascii="Arial" w:eastAsia="Calibri" w:hAnsi="Arial" w:cs="Arial"/>
          <w:color w:val="000000"/>
          <w:sz w:val="23"/>
          <w:szCs w:val="23"/>
          <w:lang w:val="es-ES_tradnl" w:eastAsia="en-US" w:bidi="ar-YE"/>
        </w:rPr>
        <w:t>étnicos</w:t>
      </w:r>
      <w:r w:rsidRPr="00B2345A">
        <w:rPr>
          <w:rFonts w:ascii="Arial" w:eastAsia="Calibri" w:hAnsi="Arial" w:cs="Arial"/>
          <w:color w:val="000000"/>
          <w:sz w:val="23"/>
          <w:szCs w:val="23"/>
          <w:rtl/>
          <w:lang w:val="es-ES_tradnl" w:eastAsia="en-US" w:bidi="ar-YE"/>
        </w:rPr>
        <w:t>,</w:t>
      </w:r>
      <w:r w:rsidRPr="00B2345A">
        <w:rPr>
          <w:rFonts w:ascii="Arial" w:eastAsia="Calibri" w:hAnsi="Arial" w:cs="Arial"/>
          <w:color w:val="000000"/>
          <w:lang w:val="es-ES_tradnl" w:eastAsia="en-US"/>
        </w:rPr>
        <w:t xml:space="preserve"> adicionalmente podrán inscribir candidatos:</w:t>
      </w:r>
    </w:p>
    <w:p w:rsidR="00B2345A" w:rsidRPr="00B2345A" w:rsidRDefault="00B2345A" w:rsidP="00B2345A">
      <w:pPr>
        <w:suppressAutoHyphens/>
        <w:autoSpaceDE w:val="0"/>
        <w:autoSpaceDN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a)</w:t>
      </w:r>
      <w:r w:rsidRPr="00B2345A">
        <w:rPr>
          <w:rFonts w:ascii="Arial" w:eastAsia="Calibri" w:hAnsi="Arial" w:cs="Arial"/>
          <w:color w:val="000000"/>
          <w:lang w:val="es-ES_tradnl" w:eastAsia="en-US"/>
        </w:rPr>
        <w:tab/>
        <w:t>Los consejos comunitarios;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b)</w:t>
      </w:r>
      <w:r w:rsidRPr="00B2345A">
        <w:rPr>
          <w:rFonts w:ascii="Arial" w:eastAsia="Calibri" w:hAnsi="Arial" w:cs="Arial"/>
          <w:color w:val="000000"/>
          <w:lang w:val="es-ES_tradnl" w:eastAsia="en-US"/>
        </w:rPr>
        <w:tab/>
        <w:t>Los resguardos y las autoridades indígenas en sus territorios, debidamente reconocidos, en coordinación con sus respectivas organizaciones nacionales;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c)</w:t>
      </w:r>
      <w:r w:rsidRPr="00B2345A">
        <w:rPr>
          <w:rFonts w:ascii="Arial" w:eastAsia="Calibri" w:hAnsi="Arial" w:cs="Arial"/>
          <w:color w:val="000000"/>
          <w:lang w:val="es-ES_tradnl" w:eastAsia="en-US"/>
        </w:rPr>
        <w:tab/>
        <w:t>Las Kumpañy legalmente constituidas.</w:t>
      </w:r>
    </w:p>
    <w:p w:rsidR="004A6701" w:rsidRDefault="004A6701" w:rsidP="00B2345A">
      <w:pPr>
        <w:suppressAutoHyphens/>
        <w:autoSpaceDE w:val="0"/>
        <w:autoSpaceDN w:val="0"/>
        <w:adjustRightInd w:val="0"/>
        <w:spacing w:after="28" w:line="260" w:lineRule="atLeast"/>
        <w:ind w:right="49" w:firstLine="283"/>
        <w:jc w:val="both"/>
        <w:rPr>
          <w:rFonts w:ascii="Arial" w:eastAsia="Calibri" w:hAnsi="Arial" w:cs="Arial"/>
          <w:b/>
          <w:bCs/>
          <w:color w:val="000000"/>
          <w:lang w:val="es-ES_tradnl" w:eastAsia="en-US"/>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Parágrafo 1°.</w:t>
      </w:r>
      <w:r w:rsidRPr="00B2345A">
        <w:rPr>
          <w:rFonts w:ascii="Arial" w:eastAsia="Calibri" w:hAnsi="Arial" w:cs="Arial"/>
          <w:color w:val="000000"/>
          <w:lang w:val="es-ES_tradnl" w:eastAsia="en-US"/>
        </w:rPr>
        <w:t xml:space="preserve">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rsidR="004A6701" w:rsidRDefault="004A6701" w:rsidP="00B2345A">
      <w:pPr>
        <w:suppressAutoHyphens/>
        <w:autoSpaceDE w:val="0"/>
        <w:autoSpaceDN w:val="0"/>
        <w:adjustRightInd w:val="0"/>
        <w:spacing w:after="28" w:line="260" w:lineRule="atLeast"/>
        <w:ind w:right="49" w:firstLine="283"/>
        <w:jc w:val="both"/>
        <w:rPr>
          <w:rFonts w:ascii="Arial" w:eastAsia="Calibri" w:hAnsi="Arial" w:cs="Arial"/>
          <w:b/>
          <w:bCs/>
          <w:color w:val="000000"/>
          <w:lang w:val="es-ES_tradnl" w:eastAsia="en-US"/>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Parágrafo 2°.</w:t>
      </w:r>
      <w:r w:rsidRPr="00B2345A">
        <w:rPr>
          <w:rFonts w:ascii="Arial" w:eastAsia="Calibri" w:hAnsi="Arial" w:cs="Arial"/>
          <w:color w:val="000000"/>
          <w:lang w:val="es-ES_tradnl" w:eastAsia="en-US"/>
        </w:rPr>
        <w:t xml:space="preserve"> Se entiende por organizaciones sociales, las asociaciones de todo orden sin </w:t>
      </w:r>
      <w:r w:rsidRPr="00B2345A">
        <w:rPr>
          <w:rFonts w:ascii="Arial" w:eastAsia="Calibri" w:hAnsi="Arial" w:cs="Arial"/>
          <w:color w:val="000000"/>
          <w:sz w:val="23"/>
          <w:szCs w:val="23"/>
          <w:lang w:val="es-ES_tradnl" w:eastAsia="en-US" w:bidi="ar-YE"/>
        </w:rPr>
        <w:t>ánimo</w:t>
      </w:r>
      <w:r w:rsidRPr="00B2345A">
        <w:rPr>
          <w:rFonts w:ascii="Arial" w:eastAsia="Calibri" w:hAnsi="Arial" w:cs="Arial"/>
          <w:color w:val="000000"/>
          <w:lang w:val="es-ES_tradnl" w:eastAsia="en-US"/>
        </w:rPr>
        <w:t xml:space="preserve"> de lucro que demuestren su existencia en el territorio de la circunscripción, mediante personería jurídica reconocida al menos cinco años antes de la elección, o mediante acreditación ante la autoridad electoral competente del ejercicio de sus actividades en el respectivo territorio durante el mismo periodo.</w:t>
      </w:r>
    </w:p>
    <w:p w:rsidR="004A6701" w:rsidRDefault="004A6701" w:rsidP="00B2345A">
      <w:pPr>
        <w:suppressAutoHyphens/>
        <w:autoSpaceDE w:val="0"/>
        <w:autoSpaceDN w:val="0"/>
        <w:adjustRightInd w:val="0"/>
        <w:spacing w:after="28" w:line="260" w:lineRule="atLeast"/>
        <w:ind w:right="49" w:firstLine="283"/>
        <w:jc w:val="both"/>
        <w:rPr>
          <w:rFonts w:ascii="Arial" w:eastAsia="Calibri" w:hAnsi="Arial" w:cs="Arial"/>
          <w:b/>
          <w:bCs/>
          <w:color w:val="000000"/>
          <w:lang w:val="es-ES_tradnl" w:eastAsia="en-US"/>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Parágrafo 3°.</w:t>
      </w:r>
      <w:r w:rsidRPr="00B2345A">
        <w:rPr>
          <w:rFonts w:ascii="Arial" w:eastAsia="Calibri" w:hAnsi="Arial" w:cs="Arial"/>
          <w:color w:val="000000"/>
          <w:lang w:val="es-ES_tradnl" w:eastAsia="en-US"/>
        </w:rPr>
        <w:t xml:space="preserve"> Los candidatos, además de los requisitos generales, deberán ser ciudadanos en ejercicio y cuyo domicilio corresponda a la circunscripción o desplazados de estos territorios en proceso de retorno.</w:t>
      </w:r>
    </w:p>
    <w:p w:rsidR="004A6701" w:rsidRDefault="004A6701" w:rsidP="00B2345A">
      <w:pPr>
        <w:suppressAutoHyphens/>
        <w:autoSpaceDE w:val="0"/>
        <w:autoSpaceDN w:val="0"/>
        <w:adjustRightInd w:val="0"/>
        <w:spacing w:after="28" w:line="260" w:lineRule="atLeast"/>
        <w:ind w:right="49" w:firstLine="283"/>
        <w:jc w:val="both"/>
        <w:rPr>
          <w:rFonts w:ascii="Arial" w:eastAsia="Calibri" w:hAnsi="Arial" w:cs="Arial"/>
          <w:b/>
          <w:bCs/>
          <w:color w:val="000000"/>
          <w:spacing w:val="4"/>
          <w:lang w:val="es-ES_tradnl" w:eastAsia="en-US"/>
        </w:rPr>
      </w:pPr>
    </w:p>
    <w:p w:rsidR="00B2345A" w:rsidRDefault="00B2345A" w:rsidP="00457FDA">
      <w:pPr>
        <w:suppressAutoHyphens/>
        <w:autoSpaceDE w:val="0"/>
        <w:autoSpaceDN w:val="0"/>
        <w:adjustRightInd w:val="0"/>
        <w:spacing w:after="28" w:line="260" w:lineRule="atLeast"/>
        <w:ind w:right="49" w:firstLine="283"/>
        <w:jc w:val="both"/>
        <w:rPr>
          <w:rFonts w:ascii="Arial" w:eastAsia="Calibri" w:hAnsi="Arial" w:cs="Arial"/>
          <w:color w:val="000000"/>
          <w:spacing w:val="4"/>
          <w:lang w:val="es-ES_tradnl" w:eastAsia="en-US"/>
        </w:rPr>
      </w:pPr>
      <w:r w:rsidRPr="00B2345A">
        <w:rPr>
          <w:rFonts w:ascii="Arial" w:eastAsia="Calibri" w:hAnsi="Arial" w:cs="Arial"/>
          <w:b/>
          <w:bCs/>
          <w:color w:val="000000"/>
          <w:spacing w:val="4"/>
          <w:lang w:val="es-ES_tradnl" w:eastAsia="en-US"/>
        </w:rPr>
        <w:lastRenderedPageBreak/>
        <w:t>Parágrafo 4</w:t>
      </w:r>
      <w:r w:rsidRPr="00B2345A">
        <w:rPr>
          <w:rFonts w:ascii="Arial" w:eastAsia="Calibri" w:hAnsi="Arial" w:cs="Arial"/>
          <w:color w:val="000000"/>
          <w:spacing w:val="4"/>
          <w:sz w:val="23"/>
          <w:szCs w:val="23"/>
          <w:rtl/>
          <w:lang w:val="es-ES_tradnl" w:eastAsia="en-US" w:bidi="ar-YE"/>
        </w:rPr>
        <w:t>°.</w:t>
      </w:r>
      <w:r w:rsidRPr="00B2345A">
        <w:rPr>
          <w:rFonts w:ascii="Arial" w:eastAsia="Calibri" w:hAnsi="Arial" w:cs="Arial"/>
          <w:color w:val="000000"/>
          <w:spacing w:val="4"/>
          <w:lang w:val="es-ES_tradnl" w:eastAsia="en-US"/>
        </w:rPr>
        <w:t xml:space="preserve"> La inscripción de candidatos por grupos significativos de ciudadanos, requerirá respaldo ciudadano equivalente al 10% del censo electoral de la respectiva Circunscripción Transitoria Especial de Paz. En ningún caso se requerirá más de 20.000 firmas.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CC0E99">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Artículo transitorio 4º.</w:t>
      </w:r>
      <w:r w:rsidRPr="00B2345A">
        <w:rPr>
          <w:rFonts w:ascii="Arial" w:eastAsia="Calibri" w:hAnsi="Arial" w:cs="Arial"/>
          <w:color w:val="000000"/>
          <w:lang w:val="es-ES_tradnl" w:eastAsia="en-US"/>
        </w:rPr>
        <w:t xml:space="preserve"> Los ciudadanos podrán ejercer su derecho al voto en las circunscripciones transitorias especiales de Paz, sin perjuicio de su derecho a participar en la elección de candidatos a la Cámara de Representantes en las elecciones ordinarias.</w:t>
      </w:r>
    </w:p>
    <w:p w:rsidR="004A6701" w:rsidRPr="00B2345A" w:rsidRDefault="004A6701" w:rsidP="00CC0E99">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La Registraduría Nacional del Estado Civil adoptará medidas especiales para la actualización y vigilancia del censo electoral, la inscripción de candidatos y el Consejo Nacional Electoral la financiación de las campañas, de conformidad con lo establecido en este Acto Legislativo.</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 xml:space="preserve">Se garantizará la participación real y efectiva de los pueblos </w:t>
      </w:r>
      <w:r w:rsidRPr="00B2345A">
        <w:rPr>
          <w:rFonts w:ascii="Arial" w:eastAsia="Calibri" w:hAnsi="Arial" w:cs="Arial"/>
          <w:color w:val="000000"/>
          <w:sz w:val="23"/>
          <w:szCs w:val="23"/>
          <w:lang w:val="es-ES_tradnl" w:eastAsia="en-US" w:bidi="ar-YE"/>
        </w:rPr>
        <w:t>étnicos</w:t>
      </w:r>
      <w:r w:rsidRPr="00B2345A">
        <w:rPr>
          <w:rFonts w:ascii="Arial" w:eastAsia="Calibri" w:hAnsi="Arial" w:cs="Arial"/>
          <w:color w:val="000000"/>
          <w:sz w:val="23"/>
          <w:szCs w:val="23"/>
          <w:rtl/>
          <w:lang w:val="es-ES_tradnl" w:eastAsia="en-US" w:bidi="ar-YE"/>
        </w:rPr>
        <w:t>,</w:t>
      </w:r>
      <w:r w:rsidRPr="00B2345A">
        <w:rPr>
          <w:rFonts w:ascii="Arial" w:eastAsia="Calibri" w:hAnsi="Arial" w:cs="Arial"/>
          <w:color w:val="000000"/>
          <w:lang w:val="es-ES_tradnl" w:eastAsia="en-US"/>
        </w:rPr>
        <w:t xml:space="preserve"> a través de la inscripción de cédulas, la pedagogía del voto y la instalación de puestos de votación en sus territorios.</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Se promoverán mecanismos adicionales de control, observación y veeduría ciudadana por parte de organizaciones especializadas y de partidos y movimientos políticos.</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Parágrafo 1°.</w:t>
      </w:r>
      <w:r w:rsidRPr="00B2345A">
        <w:rPr>
          <w:rFonts w:ascii="Arial" w:eastAsia="Calibri" w:hAnsi="Arial" w:cs="Arial"/>
          <w:color w:val="000000"/>
          <w:lang w:val="es-ES_tradnl" w:eastAsia="en-US"/>
        </w:rPr>
        <w:t xml:space="preserve"> En todo caso, la votación de las circunscripciones transitorias especiales de Paz no se tendrá en cuenta para determinar el umbral de acceso a la distribución de curules en la elección ordinaria de la Cámara de Representantes.</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Parágrafo 2°.</w:t>
      </w:r>
      <w:r w:rsidRPr="00B2345A">
        <w:rPr>
          <w:rFonts w:ascii="Arial" w:eastAsia="Calibri" w:hAnsi="Arial" w:cs="Arial"/>
          <w:color w:val="000000"/>
          <w:lang w:val="es-ES_tradnl" w:eastAsia="en-US"/>
        </w:rPr>
        <w:t xml:space="preserve"> 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Parágrafo 3°.</w:t>
      </w:r>
      <w:r w:rsidRPr="00B2345A">
        <w:rPr>
          <w:rFonts w:ascii="Arial" w:eastAsia="Calibri" w:hAnsi="Arial" w:cs="Arial"/>
          <w:color w:val="000000"/>
          <w:lang w:val="es-ES_tradnl" w:eastAsia="en-US"/>
        </w:rPr>
        <w:t xml:space="preserve"> El Gobierno nacional destinará los recursos necesarios para que la Registraduría Nacional del Estado Civil pueda cumplir con la organización del proceso electoral para las 16 Circunscripciones transitorias de Paz que crea el presente Acto Legislativo.</w:t>
      </w:r>
      <w:r w:rsidRPr="00B2345A">
        <w:rPr>
          <w:rFonts w:ascii="Arial" w:hAnsi="Arial" w:cs="Arial"/>
        </w:rPr>
        <w:t xml:space="preserve"> </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Parágrafo 4°.</w:t>
      </w:r>
      <w:r w:rsidRPr="00B2345A">
        <w:rPr>
          <w:rFonts w:ascii="Arial" w:eastAsia="Calibri" w:hAnsi="Arial" w:cs="Arial"/>
          <w:color w:val="000000"/>
          <w:lang w:val="es-ES_tradnl" w:eastAsia="en-US"/>
        </w:rPr>
        <w:t xml:space="preserve"> La Registraduría Nacional del Estado Civil dispondrá de las facultades reglamentarias necesarias requeridas para la organización del proceso electoral de las 16 circunscripciones transitorias de Paz que crea el presente Acto Legislativo.</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 xml:space="preserve">Artículo transitorio 5º. </w:t>
      </w:r>
      <w:r w:rsidRPr="00B2345A">
        <w:rPr>
          <w:rFonts w:ascii="Arial" w:eastAsia="Calibri" w:hAnsi="Arial" w:cs="Arial"/>
          <w:b/>
          <w:bCs/>
          <w:i/>
          <w:iCs/>
          <w:color w:val="000000"/>
          <w:lang w:val="es-ES_tradnl" w:eastAsia="en-US"/>
        </w:rPr>
        <w:t>Requisitos para ser candidato</w:t>
      </w:r>
      <w:r w:rsidRPr="00B2345A">
        <w:rPr>
          <w:rFonts w:ascii="Arial" w:eastAsia="Calibri" w:hAnsi="Arial" w:cs="Arial"/>
          <w:color w:val="000000"/>
          <w:lang w:val="es-ES_tradnl" w:eastAsia="en-US"/>
        </w:rPr>
        <w:t>. Los candidatos a ocupar las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lang w:val="es-ES_tradnl" w:eastAsia="en-US"/>
        </w:rPr>
        <w:t>1.</w:t>
      </w:r>
      <w:r w:rsidRPr="00B2345A">
        <w:rPr>
          <w:rFonts w:ascii="Arial" w:eastAsia="Calibri" w:hAnsi="Arial" w:cs="Arial"/>
          <w:color w:val="000000"/>
          <w:lang w:val="es-ES_tradnl" w:eastAsia="en-US"/>
        </w:rPr>
        <w:tab/>
        <w:t>Haber nacido o habitado en el territorio de la respectiva circunscripción los tres años anteriores a la fecha de la elección o,</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spacing w:val="-2"/>
          <w:sz w:val="23"/>
          <w:szCs w:val="23"/>
          <w:rtl/>
          <w:lang w:val="es-ES_tradnl" w:eastAsia="en-US" w:bidi="ar-YE"/>
        </w:rPr>
      </w:pPr>
      <w:r w:rsidRPr="00B2345A">
        <w:rPr>
          <w:rFonts w:ascii="Arial" w:eastAsia="Calibri" w:hAnsi="Arial" w:cs="Arial"/>
          <w:color w:val="000000"/>
          <w:lang w:val="es-ES_tradnl" w:eastAsia="en-US"/>
        </w:rPr>
        <w:lastRenderedPageBreak/>
        <w:t>2.</w:t>
      </w:r>
      <w:r w:rsidRPr="00B2345A">
        <w:rPr>
          <w:rFonts w:ascii="Arial" w:eastAsia="Calibri" w:hAnsi="Arial" w:cs="Arial"/>
          <w:color w:val="000000"/>
          <w:lang w:val="es-ES_tradnl" w:eastAsia="en-US"/>
        </w:rPr>
        <w:tab/>
      </w:r>
      <w:r w:rsidRPr="00B2345A">
        <w:rPr>
          <w:rFonts w:ascii="Arial" w:eastAsia="Calibri" w:hAnsi="Arial" w:cs="Arial"/>
          <w:color w:val="000000"/>
          <w:spacing w:val="-2"/>
          <w:lang w:val="es-ES_tradnl" w:eastAsia="en-US"/>
        </w:rPr>
        <w:t xml:space="preserve">Los desplazados que se encuentren en proceso de retorno con el propósito de establecer en el territorio de la circunscripción su lugar de habitación, deberán haber nacido o habitado en </w:t>
      </w:r>
      <w:r w:rsidRPr="00B2345A">
        <w:rPr>
          <w:rFonts w:ascii="Arial" w:eastAsia="Calibri" w:hAnsi="Arial" w:cs="Arial"/>
          <w:color w:val="000000"/>
          <w:spacing w:val="-2"/>
          <w:sz w:val="23"/>
          <w:szCs w:val="23"/>
          <w:lang w:val="es-ES_tradnl" w:eastAsia="en-US" w:bidi="ar-YE"/>
        </w:rPr>
        <w:t>él</w:t>
      </w:r>
      <w:r w:rsidRPr="00B2345A">
        <w:rPr>
          <w:rFonts w:ascii="Arial" w:eastAsia="Calibri" w:hAnsi="Arial" w:cs="Arial"/>
          <w:color w:val="000000"/>
          <w:spacing w:val="-2"/>
          <w:lang w:val="es-ES_tradnl" w:eastAsia="en-US"/>
        </w:rPr>
        <w:t xml:space="preserve"> al menos tres años consecutivos en cualquier </w:t>
      </w:r>
      <w:r w:rsidRPr="00B2345A">
        <w:rPr>
          <w:rFonts w:ascii="Arial" w:eastAsia="Calibri" w:hAnsi="Arial" w:cs="Arial"/>
          <w:color w:val="000000"/>
          <w:spacing w:val="-2"/>
          <w:sz w:val="23"/>
          <w:szCs w:val="23"/>
          <w:lang w:val="es-ES_tradnl" w:eastAsia="en-US" w:bidi="ar-YE"/>
        </w:rPr>
        <w:t>época</w:t>
      </w:r>
      <w:r w:rsidRPr="00B2345A">
        <w:rPr>
          <w:rFonts w:ascii="Arial" w:eastAsia="Calibri" w:hAnsi="Arial" w:cs="Arial"/>
          <w:color w:val="000000"/>
          <w:spacing w:val="-2"/>
          <w:sz w:val="23"/>
          <w:szCs w:val="23"/>
          <w:rtl/>
          <w:lang w:val="es-ES_tradnl" w:eastAsia="en-US" w:bidi="ar-YE"/>
        </w:rPr>
        <w:t>.</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Parágrafo 1º.</w:t>
      </w:r>
      <w:r w:rsidRPr="00B2345A">
        <w:rPr>
          <w:rFonts w:ascii="Arial" w:eastAsia="Calibri" w:hAnsi="Arial" w:cs="Arial"/>
          <w:color w:val="000000"/>
          <w:lang w:val="es-ES_tradnl" w:eastAsia="en-US"/>
        </w:rPr>
        <w:t xml:space="preserve"> Para los solos efectos del presente acto legislativo, se consideran víctimas aquellas personas que individual -y </w:t>
      </w:r>
      <w:r w:rsidRPr="00B2345A">
        <w:rPr>
          <w:rFonts w:ascii="Arial" w:eastAsia="Calibri" w:hAnsi="Arial" w:cs="Arial"/>
          <w:color w:val="000000"/>
          <w:sz w:val="23"/>
          <w:szCs w:val="23"/>
          <w:lang w:val="es-ES_tradnl" w:eastAsia="en-US" w:bidi="ar-YE"/>
        </w:rPr>
        <w:t>únicamente</w:t>
      </w:r>
      <w:r w:rsidRPr="00B2345A">
        <w:rPr>
          <w:rFonts w:ascii="Arial" w:eastAsia="Calibri" w:hAnsi="Arial" w:cs="Arial"/>
          <w:color w:val="000000"/>
          <w:lang w:val="es-ES_tradnl" w:eastAsia="en-US"/>
        </w:rPr>
        <w:t xml:space="preserve"> hasta el tercer grado de consanguinidad y primero de afinidad o colectivamente hayan sufrido un daño como consecuencia de infracciones al Derecho Internacional Humanitario o de violaciones a las normas internacionales de Derechos Humanos, ocurridas con ocasión del conflicto armado interno.</w:t>
      </w:r>
    </w:p>
    <w:p w:rsidR="00B2345A" w:rsidRDefault="00B2345A" w:rsidP="004A6701">
      <w:pPr>
        <w:suppressAutoHyphens/>
        <w:autoSpaceDE w:val="0"/>
        <w:autoSpaceDN w:val="0"/>
        <w:adjustRightInd w:val="0"/>
        <w:spacing w:after="28" w:line="260" w:lineRule="atLeast"/>
        <w:ind w:right="49"/>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La condición de víctima individual o colectiva se acreditará según certificación expedida por la Unidad para la Atención y Reparación Integral a las Víctimas (UARIV).</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Parágrafo 2°.</w:t>
      </w:r>
      <w:r w:rsidRPr="00B2345A">
        <w:rPr>
          <w:rFonts w:ascii="Arial" w:eastAsia="Calibri" w:hAnsi="Arial" w:cs="Arial"/>
          <w:color w:val="000000"/>
          <w:lang w:val="es-ES_tradnl" w:eastAsia="en-US"/>
        </w:rPr>
        <w:t xml:space="preserve"> No podrán presentarse como candidatos quienes hayan sido </w:t>
      </w:r>
    </w:p>
    <w:p w:rsidR="00B2345A" w:rsidRDefault="00B2345A" w:rsidP="00B2345A">
      <w:pPr>
        <w:suppressAutoHyphens/>
        <w:autoSpaceDE w:val="0"/>
        <w:autoSpaceDN w:val="0"/>
        <w:adjustRightInd w:val="0"/>
        <w:spacing w:after="28" w:line="260" w:lineRule="atLeast"/>
        <w:ind w:right="49"/>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 xml:space="preserve">candidatos elegidos o no a cargos públicos, con el aval de partidos o movimientos políticos con representación en el Congreso o con personería jurídica, o quienes lo hayan sido por un partido político cuya personería jurídica se haya perdido, dentro de los cinco años anteriores a la fecha de la inscripción, o hayan hecho parte de las direcciones de estos, durante el </w:t>
      </w:r>
      <w:r w:rsidRPr="00B2345A">
        <w:rPr>
          <w:rFonts w:ascii="Arial" w:eastAsia="Calibri" w:hAnsi="Arial" w:cs="Arial"/>
          <w:color w:val="000000"/>
          <w:sz w:val="23"/>
          <w:szCs w:val="23"/>
          <w:lang w:val="es-ES_tradnl" w:eastAsia="en-US" w:bidi="ar-YE"/>
        </w:rPr>
        <w:t>último</w:t>
      </w:r>
      <w:r w:rsidRPr="00B2345A">
        <w:rPr>
          <w:rFonts w:ascii="Arial" w:eastAsia="Calibri" w:hAnsi="Arial" w:cs="Arial"/>
          <w:color w:val="000000"/>
          <w:lang w:val="es-ES_tradnl" w:eastAsia="en-US"/>
        </w:rPr>
        <w:t xml:space="preserve"> año.</w:t>
      </w:r>
    </w:p>
    <w:p w:rsidR="004A6701" w:rsidRPr="00B2345A" w:rsidRDefault="004A6701" w:rsidP="00B2345A">
      <w:pPr>
        <w:suppressAutoHyphens/>
        <w:autoSpaceDE w:val="0"/>
        <w:autoSpaceDN w:val="0"/>
        <w:adjustRightInd w:val="0"/>
        <w:spacing w:after="28" w:line="260" w:lineRule="atLeast"/>
        <w:ind w:right="49"/>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spacing w:val="4"/>
          <w:lang w:val="es-ES_tradnl" w:eastAsia="en-US"/>
        </w:rPr>
      </w:pPr>
      <w:r w:rsidRPr="00B2345A">
        <w:rPr>
          <w:rFonts w:ascii="Arial" w:eastAsia="Calibri" w:hAnsi="Arial" w:cs="Arial"/>
          <w:b/>
          <w:bCs/>
          <w:color w:val="000000"/>
          <w:lang w:val="es-ES_tradnl" w:eastAsia="en-US"/>
        </w:rPr>
        <w:t>Parágrafo 3º.</w:t>
      </w:r>
      <w:r w:rsidRPr="00B2345A">
        <w:rPr>
          <w:rFonts w:ascii="Arial" w:eastAsia="Calibri" w:hAnsi="Arial" w:cs="Arial"/>
          <w:color w:val="000000"/>
          <w:lang w:val="es-ES_tradnl" w:eastAsia="en-US"/>
        </w:rPr>
        <w:t xml:space="preserve"> </w:t>
      </w:r>
      <w:r w:rsidRPr="00B2345A">
        <w:rPr>
          <w:rFonts w:ascii="Arial" w:eastAsia="Calibri" w:hAnsi="Arial" w:cs="Arial"/>
          <w:color w:val="000000"/>
          <w:spacing w:val="4"/>
          <w:lang w:val="es-ES_tradnl" w:eastAsia="en-US"/>
        </w:rPr>
        <w:t xml:space="preserve">Dado el carácter especial de estas circunscripciones, los miembros de los grupos armados al margen de la ley que hayan suscrito un acuerdo de Paz con el Gobierno nacional y/o se hayan desmovilizado de manera individual en los </w:t>
      </w:r>
      <w:r w:rsidRPr="00B2345A">
        <w:rPr>
          <w:rFonts w:ascii="Arial" w:eastAsia="Calibri" w:hAnsi="Arial" w:cs="Arial"/>
          <w:color w:val="000000"/>
          <w:spacing w:val="4"/>
          <w:sz w:val="23"/>
          <w:szCs w:val="23"/>
          <w:lang w:val="es-ES_tradnl" w:eastAsia="en-US" w:bidi="ar-YE"/>
        </w:rPr>
        <w:t>últimos</w:t>
      </w:r>
      <w:r w:rsidRPr="00B2345A">
        <w:rPr>
          <w:rFonts w:ascii="Arial" w:eastAsia="Calibri" w:hAnsi="Arial" w:cs="Arial"/>
          <w:color w:val="000000"/>
          <w:spacing w:val="4"/>
          <w:lang w:val="es-ES_tradnl" w:eastAsia="en-US"/>
        </w:rPr>
        <w:t xml:space="preserve"> veinte años, no podrán presentarse como candidatos a las circunscripciones transitorias especiales de Paz.</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Parágrafo 4º.</w:t>
      </w:r>
      <w:r w:rsidRPr="00B2345A">
        <w:rPr>
          <w:rFonts w:ascii="Arial" w:eastAsia="Calibri" w:hAnsi="Arial" w:cs="Arial"/>
          <w:color w:val="000000"/>
          <w:lang w:val="es-ES_tradnl" w:eastAsia="en-US"/>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134 de la Constitución Política.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 xml:space="preserve">Artículo transitorio 6º. </w:t>
      </w:r>
      <w:r w:rsidRPr="00B2345A">
        <w:rPr>
          <w:rFonts w:ascii="Arial" w:eastAsia="Calibri" w:hAnsi="Arial" w:cs="Arial"/>
          <w:b/>
          <w:bCs/>
          <w:i/>
          <w:iCs/>
          <w:color w:val="000000"/>
          <w:lang w:val="es-ES_tradnl" w:eastAsia="en-US"/>
        </w:rPr>
        <w:t>Forma de elección</w:t>
      </w:r>
      <w:r w:rsidRPr="00B2345A">
        <w:rPr>
          <w:rFonts w:ascii="Arial" w:eastAsia="Calibri" w:hAnsi="Arial" w:cs="Arial"/>
          <w:b/>
          <w:bCs/>
          <w:color w:val="000000"/>
          <w:lang w:val="es-ES_tradnl" w:eastAsia="en-US"/>
        </w:rPr>
        <w:t>.</w:t>
      </w:r>
      <w:r w:rsidRPr="00B2345A">
        <w:rPr>
          <w:rFonts w:ascii="Arial" w:eastAsia="Calibri" w:hAnsi="Arial" w:cs="Arial"/>
          <w:color w:val="000000"/>
          <w:lang w:val="es-ES_tradnl" w:eastAsia="en-US"/>
        </w:rPr>
        <w:t xml:space="preserve"> En cada una de las Circunscripciones Transitorias Especiales de Paz se elegirá un Representante a la Cámara. Las listas tendrán voto preferente y estarán integradas por dos candidatos que deberán acreditar su condición de víctimas del conflicto. La Lista tendrá un candidato de cada género.</w:t>
      </w: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Para efectos del proceso de elección, la curul se adjudicará al candidato más votado dentro de la lista que obtenga el mayor número de votos dentro de la respectiva circunscripción.</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La votación de las circunscripciones transitorias especiales de Paz se hará en tarjeta separada de las que corresponden a las circunscripciones ordinarias para la Cámara de Representantes.</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Los candidatos y las listas de circunscripciones transitorias especiales de Paz, no podrán realizar alianzas, coaliciones o acuerdos con candidatos o listas inscritas para las circunscripciones ordinarias para la Cámara de Representantes. La violación de esta norma generará la pérdida de la curul en caso de resultar electos a la circunscripción transitoria especial de Paz.</w:t>
      </w:r>
    </w:p>
    <w:p w:rsidR="00B2345A" w:rsidRPr="00B2345A" w:rsidRDefault="00B2345A" w:rsidP="00B2345A">
      <w:pPr>
        <w:suppressAutoHyphens/>
        <w:adjustRightInd w:val="0"/>
        <w:spacing w:after="28" w:line="260" w:lineRule="atLeast"/>
        <w:ind w:right="49" w:firstLine="283"/>
        <w:jc w:val="both"/>
        <w:rPr>
          <w:rFonts w:ascii="Arial" w:hAnsi="Arial" w:cs="Arial"/>
        </w:rPr>
      </w:pPr>
    </w:p>
    <w:p w:rsidR="004A6701" w:rsidRDefault="004A6701" w:rsidP="00B2345A">
      <w:pPr>
        <w:suppressAutoHyphens/>
        <w:autoSpaceDE w:val="0"/>
        <w:autoSpaceDN w:val="0"/>
        <w:adjustRightInd w:val="0"/>
        <w:spacing w:after="28" w:line="260" w:lineRule="atLeast"/>
        <w:ind w:right="49" w:firstLine="283"/>
        <w:jc w:val="both"/>
        <w:rPr>
          <w:rFonts w:ascii="Arial" w:eastAsia="Calibri" w:hAnsi="Arial" w:cs="Arial"/>
          <w:b/>
          <w:bCs/>
          <w:color w:val="000000"/>
          <w:lang w:val="es-ES_tradnl" w:eastAsia="en-US"/>
        </w:rPr>
      </w:pPr>
    </w:p>
    <w:p w:rsidR="004A6701" w:rsidRDefault="004A6701" w:rsidP="00B2345A">
      <w:pPr>
        <w:suppressAutoHyphens/>
        <w:autoSpaceDE w:val="0"/>
        <w:autoSpaceDN w:val="0"/>
        <w:adjustRightInd w:val="0"/>
        <w:spacing w:after="28" w:line="260" w:lineRule="atLeast"/>
        <w:ind w:right="49" w:firstLine="283"/>
        <w:jc w:val="both"/>
        <w:rPr>
          <w:rFonts w:ascii="Arial" w:eastAsia="Calibri" w:hAnsi="Arial" w:cs="Arial"/>
          <w:b/>
          <w:bCs/>
          <w:color w:val="000000"/>
          <w:lang w:val="es-ES_tradnl" w:eastAsia="en-US"/>
        </w:rPr>
      </w:pPr>
    </w:p>
    <w:p w:rsidR="004A6701" w:rsidRDefault="004A6701" w:rsidP="00B2345A">
      <w:pPr>
        <w:suppressAutoHyphens/>
        <w:autoSpaceDE w:val="0"/>
        <w:autoSpaceDN w:val="0"/>
        <w:adjustRightInd w:val="0"/>
        <w:spacing w:after="28" w:line="260" w:lineRule="atLeast"/>
        <w:ind w:right="49" w:firstLine="283"/>
        <w:jc w:val="both"/>
        <w:rPr>
          <w:rFonts w:ascii="Arial" w:eastAsia="Calibri" w:hAnsi="Arial" w:cs="Arial"/>
          <w:b/>
          <w:bCs/>
          <w:color w:val="000000"/>
          <w:lang w:val="es-ES_tradnl" w:eastAsia="en-US"/>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 xml:space="preserve">Artículo transitorio 7º. </w:t>
      </w:r>
      <w:r w:rsidRPr="00B2345A">
        <w:rPr>
          <w:rFonts w:ascii="Arial" w:eastAsia="Calibri" w:hAnsi="Arial" w:cs="Arial"/>
          <w:b/>
          <w:bCs/>
          <w:i/>
          <w:iCs/>
          <w:color w:val="000000"/>
          <w:lang w:val="es-ES_tradnl" w:eastAsia="en-US"/>
        </w:rPr>
        <w:t>Fecha de elecciones</w:t>
      </w:r>
      <w:r w:rsidRPr="00B2345A">
        <w:rPr>
          <w:rFonts w:ascii="Arial" w:eastAsia="Calibri" w:hAnsi="Arial" w:cs="Arial"/>
          <w:color w:val="000000"/>
          <w:lang w:val="es-ES_tradnl" w:eastAsia="en-US"/>
        </w:rPr>
        <w:t xml:space="preserve">. Las elecciones de los Representantes a la Cámara de las Circunscripciones Transitorias Especiales de Paz se harán en la misma jornada electoral establecida para el Congreso de la República </w:t>
      </w:r>
      <w:r w:rsidR="00460875">
        <w:rPr>
          <w:rFonts w:ascii="Arial" w:eastAsia="Calibri" w:hAnsi="Arial" w:cs="Arial"/>
          <w:color w:val="000000"/>
          <w:lang w:val="es-ES_tradnl" w:eastAsia="en-US"/>
        </w:rPr>
        <w:t>en los años 2022 y 2026</w:t>
      </w:r>
      <w:bookmarkStart w:id="0" w:name="_GoBack"/>
      <w:bookmarkEnd w:id="0"/>
      <w:r w:rsidRPr="00B2345A">
        <w:rPr>
          <w:rFonts w:ascii="Arial" w:eastAsia="Calibri" w:hAnsi="Arial" w:cs="Arial"/>
          <w:color w:val="000000"/>
          <w:lang w:val="es-ES_tradnl" w:eastAsia="en-US"/>
        </w:rPr>
        <w:t>.</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Parágrafo</w:t>
      </w:r>
      <w:r w:rsidRPr="00B2345A">
        <w:rPr>
          <w:rFonts w:ascii="Arial" w:eastAsia="Calibri" w:hAnsi="Arial" w:cs="Arial"/>
          <w:color w:val="000000"/>
          <w:lang w:val="es-ES_tradnl" w:eastAsia="en-US"/>
        </w:rPr>
        <w:t>. Para garantizar una efectiva participación electoral, la Registraduría Nacional del Estado Civil deberá habilitar un periodo especial para la inscripción de candidatos exclusivamente para las 16 Circunscripciones Transitorias Especiales de Paz.</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 xml:space="preserve">Artículo transitorio 8º. </w:t>
      </w:r>
      <w:r w:rsidRPr="00B2345A">
        <w:rPr>
          <w:rFonts w:ascii="Arial" w:eastAsia="Calibri" w:hAnsi="Arial" w:cs="Arial"/>
          <w:b/>
          <w:bCs/>
          <w:i/>
          <w:iCs/>
          <w:color w:val="000000"/>
          <w:lang w:val="es-ES_tradnl" w:eastAsia="en-US"/>
        </w:rPr>
        <w:t>Financiación</w:t>
      </w:r>
      <w:r w:rsidRPr="00B2345A">
        <w:rPr>
          <w:rFonts w:ascii="Arial" w:eastAsia="Calibri" w:hAnsi="Arial" w:cs="Arial"/>
          <w:color w:val="000000"/>
          <w:lang w:val="es-ES_tradnl" w:eastAsia="en-US"/>
        </w:rPr>
        <w:t>. La financiación de las campañas será preponderantemente estatal, mediante el sistema de reposición de votos y acceso a los anticipos, en los términos y topes que determine la autoridad electoral.</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4A6701">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color w:val="000000"/>
          <w:spacing w:val="2"/>
          <w:lang w:val="es-ES_tradnl" w:eastAsia="en-US"/>
        </w:rPr>
        <w:t>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w:t>
      </w:r>
      <w:r w:rsidR="00457FDA">
        <w:rPr>
          <w:rFonts w:ascii="Arial" w:eastAsia="Calibri" w:hAnsi="Arial" w:cs="Arial"/>
          <w:color w:val="000000"/>
          <w:spacing w:val="2"/>
          <w:lang w:val="es-ES_tradnl" w:eastAsia="en-US"/>
        </w:rPr>
        <w:t>ciones a las organizaciones pro</w:t>
      </w:r>
      <w:r w:rsidRPr="00B2345A">
        <w:rPr>
          <w:rFonts w:ascii="Arial" w:eastAsia="Calibri" w:hAnsi="Arial" w:cs="Arial"/>
          <w:color w:val="000000"/>
          <w:spacing w:val="2"/>
          <w:lang w:val="es-ES_tradnl" w:eastAsia="en-US"/>
        </w:rPr>
        <w:t>motoras de la lista, y en ningún caso a los candidatos.</w:t>
      </w:r>
    </w:p>
    <w:p w:rsidR="000841FB" w:rsidRDefault="000841FB"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rsidR="000841FB" w:rsidRPr="00B2345A" w:rsidRDefault="000841FB"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No se permiten aportes privados directos a campañas de las Circunscripciones Transitorias Especiales de Paz.</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 xml:space="preserve">Artículo transitorio 9º. </w:t>
      </w:r>
      <w:r w:rsidRPr="00B2345A">
        <w:rPr>
          <w:rFonts w:ascii="Arial" w:eastAsia="Calibri" w:hAnsi="Arial" w:cs="Arial"/>
          <w:b/>
          <w:bCs/>
          <w:i/>
          <w:iCs/>
          <w:color w:val="000000"/>
          <w:lang w:val="es-ES_tradnl" w:eastAsia="en-US"/>
        </w:rPr>
        <w:t>Acceso a medios de comunicación</w:t>
      </w:r>
      <w:r w:rsidRPr="00B2345A">
        <w:rPr>
          <w:rFonts w:ascii="Arial" w:eastAsia="Calibri" w:hAnsi="Arial" w:cs="Arial"/>
          <w:color w:val="000000"/>
          <w:lang w:val="es-ES_tradnl" w:eastAsia="en-US"/>
        </w:rPr>
        <w:t xml:space="preserve">. Cuando se utilicen medios de comunicación que hagan uso del espectro electromagnético, las campañas </w:t>
      </w:r>
      <w:r w:rsidRPr="00B2345A">
        <w:rPr>
          <w:rFonts w:ascii="Arial" w:eastAsia="Calibri" w:hAnsi="Arial" w:cs="Arial"/>
          <w:color w:val="000000"/>
          <w:sz w:val="23"/>
          <w:szCs w:val="23"/>
          <w:lang w:val="es-ES_tradnl" w:eastAsia="en-US" w:bidi="ar-YE"/>
        </w:rPr>
        <w:t>únicamente</w:t>
      </w:r>
      <w:r w:rsidRPr="00B2345A">
        <w:rPr>
          <w:rFonts w:ascii="Arial" w:eastAsia="Calibri" w:hAnsi="Arial" w:cs="Arial"/>
          <w:color w:val="000000"/>
          <w:lang w:val="es-ES_tradnl" w:eastAsia="en-US"/>
        </w:rPr>
        <w:t xml:space="preserve"> podrán utilizar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w:t>
      </w:r>
    </w:p>
    <w:p w:rsidR="004A6701" w:rsidRPr="00B2345A" w:rsidRDefault="004A6701"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color w:val="000000"/>
          <w:lang w:val="es-ES_tradnl" w:eastAsia="en-US"/>
        </w:rPr>
        <w:t>El Ministerio de Tecnologías de la Información y las Comunicaciones y la Autoridad Nacional de Televisión señalarán los espacios de que se puede disponer. Tal distribución se hará conforme a las normas electorales vigentes.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 xml:space="preserve">Artículo transitorio 10. </w:t>
      </w:r>
      <w:r w:rsidRPr="00B2345A">
        <w:rPr>
          <w:rFonts w:ascii="Arial" w:eastAsia="Calibri" w:hAnsi="Arial" w:cs="Arial"/>
          <w:b/>
          <w:bCs/>
          <w:i/>
          <w:iCs/>
          <w:color w:val="000000"/>
          <w:lang w:val="es-ES_tradnl" w:eastAsia="en-US"/>
        </w:rPr>
        <w:t>Tribunales Electorales Transitorios</w:t>
      </w:r>
      <w:r w:rsidRPr="00B2345A">
        <w:rPr>
          <w:rFonts w:ascii="Arial" w:eastAsia="Calibri" w:hAnsi="Arial" w:cs="Arial"/>
          <w:b/>
          <w:bCs/>
          <w:color w:val="000000"/>
          <w:lang w:val="es-ES_tradnl" w:eastAsia="en-US"/>
        </w:rPr>
        <w:t>.</w:t>
      </w:r>
      <w:r w:rsidRPr="00B2345A">
        <w:rPr>
          <w:rFonts w:ascii="Arial" w:eastAsia="Calibri" w:hAnsi="Arial" w:cs="Arial"/>
          <w:color w:val="000000"/>
          <w:lang w:val="es-ES_tradnl" w:eastAsia="en-US"/>
        </w:rPr>
        <w:t xml:space="preserve"> La autoridad electoral pondrá en marcha Tribunales Electorales Transitorios de Paz tres meses antes de las elecciones. Estos tribunales velarán por la observancia de </w:t>
      </w:r>
      <w:r w:rsidRPr="00B2345A">
        <w:rPr>
          <w:rFonts w:ascii="Arial" w:eastAsia="Calibri" w:hAnsi="Arial" w:cs="Arial"/>
          <w:color w:val="000000"/>
          <w:lang w:val="es-ES_tradnl" w:eastAsia="en-US"/>
        </w:rPr>
        <w:lastRenderedPageBreak/>
        <w:t>las reglas establecidas para las Circunscripciones Transitorias Especiales de Paz, verificarán el censo electoral de la respectiva circunscripción y atenderán las reclamaciones presentadas en relación con las mismas.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Artículo 2º</w:t>
      </w:r>
      <w:r w:rsidRPr="00B2345A">
        <w:rPr>
          <w:rFonts w:ascii="Arial" w:eastAsia="Calibri" w:hAnsi="Arial" w:cs="Arial"/>
          <w:color w:val="000000"/>
          <w:lang w:val="es-ES_tradnl" w:eastAsia="en-US"/>
        </w:rPr>
        <w:t>. El Gobierno nacional reglamentará en un término máximo de treinta días a partir de la entrada en vigencia del presente acto legislativo, lo relativo a los mecanismos de observación y transparencia electoral ciudadana, la campaña especial de cedulación y registro electoral y las campañas de pedagogía y sensibilización en torno a la participación electoral.</w:t>
      </w:r>
    </w:p>
    <w:p w:rsidR="00457FDA" w:rsidRPr="00B2345A" w:rsidRDefault="00457FD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457FDA">
        <w:rPr>
          <w:rFonts w:ascii="Arial" w:eastAsia="Calibri" w:hAnsi="Arial" w:cs="Arial"/>
          <w:b/>
          <w:color w:val="000000"/>
          <w:lang w:val="es-ES_tradnl" w:eastAsia="en-US"/>
        </w:rPr>
        <w:t>Parágrafo.</w:t>
      </w:r>
      <w:r w:rsidRPr="00B2345A">
        <w:rPr>
          <w:rFonts w:ascii="Arial" w:eastAsia="Calibri" w:hAnsi="Arial" w:cs="Arial"/>
          <w:color w:val="000000"/>
          <w:lang w:val="es-ES_tradnl" w:eastAsia="en-US"/>
        </w:rPr>
        <w:t xml:space="preserve"> La autoridad electoral determinará lo correspondiente a la publicidad y rendición de cuentas en la financiación de las campañas de las listas inscritas.</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Default="00B2345A" w:rsidP="00B2345A">
      <w:pPr>
        <w:suppressAutoHyphens/>
        <w:autoSpaceDE w:val="0"/>
        <w:autoSpaceDN w:val="0"/>
        <w:adjustRightInd w:val="0"/>
        <w:spacing w:after="28" w:line="260" w:lineRule="atLeast"/>
        <w:ind w:right="49" w:firstLine="283"/>
        <w:jc w:val="both"/>
        <w:rPr>
          <w:rFonts w:ascii="Arial" w:eastAsia="Calibri" w:hAnsi="Arial" w:cs="Arial"/>
          <w:color w:val="000000"/>
          <w:lang w:val="es-ES_tradnl" w:eastAsia="en-US"/>
        </w:rPr>
      </w:pPr>
      <w:r w:rsidRPr="00B2345A">
        <w:rPr>
          <w:rFonts w:ascii="Arial" w:eastAsia="Calibri" w:hAnsi="Arial" w:cs="Arial"/>
          <w:b/>
          <w:bCs/>
          <w:color w:val="000000"/>
          <w:lang w:val="es-ES_tradnl" w:eastAsia="en-US"/>
        </w:rPr>
        <w:t>Artículo 3º</w:t>
      </w:r>
      <w:r w:rsidRPr="00B2345A">
        <w:rPr>
          <w:rFonts w:ascii="Arial" w:eastAsia="Calibri" w:hAnsi="Arial" w:cs="Arial"/>
          <w:color w:val="000000"/>
          <w:lang w:val="es-ES_tradnl" w:eastAsia="en-US"/>
        </w:rPr>
        <w:t>. En lo no previsto en el presente acto legislativo se aplicarán las demás normas que regulan la materia.</w:t>
      </w: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p>
    <w:p w:rsidR="00B2345A" w:rsidRPr="00B2345A" w:rsidRDefault="00B2345A" w:rsidP="00B2345A">
      <w:pPr>
        <w:suppressAutoHyphens/>
        <w:autoSpaceDE w:val="0"/>
        <w:autoSpaceDN w:val="0"/>
        <w:adjustRightInd w:val="0"/>
        <w:spacing w:after="28" w:line="260" w:lineRule="atLeast"/>
        <w:ind w:right="49" w:firstLine="283"/>
        <w:jc w:val="both"/>
        <w:rPr>
          <w:rFonts w:ascii="Arial" w:hAnsi="Arial" w:cs="Arial"/>
        </w:rPr>
      </w:pPr>
      <w:r w:rsidRPr="00B2345A">
        <w:rPr>
          <w:rFonts w:ascii="Arial" w:eastAsia="Calibri" w:hAnsi="Arial" w:cs="Arial"/>
          <w:b/>
          <w:bCs/>
          <w:color w:val="000000"/>
          <w:lang w:val="es-ES_tradnl" w:eastAsia="en-US"/>
        </w:rPr>
        <w:t>Artículo 4º</w:t>
      </w:r>
      <w:r w:rsidRPr="00B2345A">
        <w:rPr>
          <w:rFonts w:ascii="Arial" w:eastAsia="Calibri" w:hAnsi="Arial" w:cs="Arial"/>
          <w:color w:val="000000"/>
          <w:lang w:val="es-ES_tradnl" w:eastAsia="en-US"/>
        </w:rPr>
        <w:t>. El presente Acto Legislativo rige a partir de su promulgación.</w:t>
      </w:r>
    </w:p>
    <w:p w:rsidR="00CE35E6" w:rsidRPr="00B2345A" w:rsidRDefault="00CE35E6" w:rsidP="00CE35E6">
      <w:pPr>
        <w:widowControl w:val="0"/>
        <w:autoSpaceDE w:val="0"/>
        <w:autoSpaceDN w:val="0"/>
        <w:adjustRightInd w:val="0"/>
        <w:jc w:val="both"/>
        <w:rPr>
          <w:rFonts w:ascii="Arial" w:hAnsi="Arial" w:cs="Arial"/>
          <w:color w:val="191919"/>
        </w:rPr>
      </w:pPr>
    </w:p>
    <w:p w:rsidR="005E584F" w:rsidRDefault="005E584F" w:rsidP="00CE35E6">
      <w:pPr>
        <w:widowControl w:val="0"/>
        <w:autoSpaceDE w:val="0"/>
        <w:autoSpaceDN w:val="0"/>
        <w:adjustRightInd w:val="0"/>
        <w:jc w:val="both"/>
        <w:rPr>
          <w:rFonts w:ascii="Arial" w:hAnsi="Arial" w:cs="Arial"/>
          <w:color w:val="191919"/>
          <w:lang w:val="es-CO"/>
        </w:rPr>
      </w:pPr>
    </w:p>
    <w:p w:rsidR="004A6701" w:rsidRDefault="004A6701" w:rsidP="00CE35E6">
      <w:pPr>
        <w:widowControl w:val="0"/>
        <w:autoSpaceDE w:val="0"/>
        <w:autoSpaceDN w:val="0"/>
        <w:adjustRightInd w:val="0"/>
        <w:jc w:val="both"/>
        <w:rPr>
          <w:rFonts w:ascii="Arial" w:hAnsi="Arial" w:cs="Arial"/>
          <w:color w:val="191919"/>
          <w:lang w:val="es-CO"/>
        </w:rPr>
      </w:pPr>
    </w:p>
    <w:p w:rsidR="004A6701" w:rsidRDefault="004A6701" w:rsidP="00CE35E6">
      <w:pPr>
        <w:widowControl w:val="0"/>
        <w:autoSpaceDE w:val="0"/>
        <w:autoSpaceDN w:val="0"/>
        <w:adjustRightInd w:val="0"/>
        <w:jc w:val="both"/>
        <w:rPr>
          <w:rFonts w:ascii="Arial" w:hAnsi="Arial" w:cs="Arial"/>
          <w:color w:val="191919"/>
          <w:lang w:val="es-CO"/>
        </w:rPr>
      </w:pPr>
    </w:p>
    <w:p w:rsidR="004A6701" w:rsidRPr="00122C16" w:rsidRDefault="004A6701" w:rsidP="00CE35E6">
      <w:pPr>
        <w:widowControl w:val="0"/>
        <w:autoSpaceDE w:val="0"/>
        <w:autoSpaceDN w:val="0"/>
        <w:adjustRightInd w:val="0"/>
        <w:jc w:val="both"/>
        <w:rPr>
          <w:rFonts w:ascii="Arial" w:hAnsi="Arial" w:cs="Arial"/>
          <w:color w:val="191919"/>
          <w:lang w:val="es-CO"/>
        </w:rPr>
      </w:pPr>
    </w:p>
    <w:p w:rsidR="009C1594" w:rsidRPr="00122C16" w:rsidRDefault="009C1594" w:rsidP="009C1594">
      <w:pPr>
        <w:rPr>
          <w:rFonts w:ascii="Arial" w:hAnsi="Arial" w:cs="Arial"/>
        </w:rPr>
      </w:pPr>
      <w:r w:rsidRPr="00122C16">
        <w:rPr>
          <w:rFonts w:ascii="Arial" w:hAnsi="Arial" w:cs="Arial"/>
        </w:rPr>
        <w:t>EL PRESIDENTE DEL H. SENADO DE LA REPUBLICA</w:t>
      </w:r>
    </w:p>
    <w:p w:rsidR="009C1594" w:rsidRPr="00122C16" w:rsidRDefault="009C1594" w:rsidP="009C1594">
      <w:pPr>
        <w:rPr>
          <w:rFonts w:ascii="Arial" w:hAnsi="Arial" w:cs="Arial"/>
        </w:rPr>
      </w:pPr>
    </w:p>
    <w:p w:rsidR="009C1594" w:rsidRPr="00122C16" w:rsidRDefault="009C1594" w:rsidP="009C1594">
      <w:pPr>
        <w:rPr>
          <w:rFonts w:ascii="Arial" w:hAnsi="Arial" w:cs="Arial"/>
        </w:rPr>
      </w:pPr>
    </w:p>
    <w:p w:rsidR="009C1594" w:rsidRDefault="009C1594" w:rsidP="009C1594">
      <w:pPr>
        <w:rPr>
          <w:rFonts w:ascii="Arial" w:hAnsi="Arial" w:cs="Arial"/>
        </w:rPr>
      </w:pPr>
    </w:p>
    <w:p w:rsidR="004A6701" w:rsidRDefault="004A6701" w:rsidP="009C1594">
      <w:pPr>
        <w:rPr>
          <w:rFonts w:ascii="Arial" w:hAnsi="Arial" w:cs="Arial"/>
        </w:rPr>
      </w:pPr>
    </w:p>
    <w:p w:rsidR="004A6701" w:rsidRPr="00122C16" w:rsidRDefault="004A6701" w:rsidP="009C1594">
      <w:pPr>
        <w:rPr>
          <w:rFonts w:ascii="Arial" w:hAnsi="Arial" w:cs="Arial"/>
        </w:rPr>
      </w:pPr>
    </w:p>
    <w:p w:rsidR="009C1594" w:rsidRPr="00122C16" w:rsidRDefault="009C1594" w:rsidP="009C1594">
      <w:pPr>
        <w:rPr>
          <w:rFonts w:ascii="Arial" w:hAnsi="Arial" w:cs="Arial"/>
        </w:rPr>
      </w:pPr>
    </w:p>
    <w:p w:rsidR="00F829FA" w:rsidRPr="00122C16" w:rsidRDefault="00F829FA" w:rsidP="009C1594">
      <w:pPr>
        <w:rPr>
          <w:rFonts w:ascii="Arial" w:hAnsi="Arial" w:cs="Arial"/>
        </w:rPr>
      </w:pPr>
    </w:p>
    <w:p w:rsidR="004E15FF" w:rsidRPr="00FA4CB4" w:rsidRDefault="004E15FF" w:rsidP="004E15FF">
      <w:pPr>
        <w:rPr>
          <w:rFonts w:ascii="Arial" w:hAnsi="Arial" w:cs="Arial"/>
          <w:b/>
        </w:rPr>
      </w:pPr>
      <w:r w:rsidRPr="00FA4CB4">
        <w:rPr>
          <w:rFonts w:ascii="Arial" w:hAnsi="Arial" w:cs="Arial"/>
          <w:b/>
        </w:rPr>
        <w:t>ARTURO CHAR CHALJUB</w:t>
      </w:r>
    </w:p>
    <w:p w:rsidR="009C1594" w:rsidRPr="00122C16" w:rsidRDefault="009C1594" w:rsidP="009C1594">
      <w:pPr>
        <w:rPr>
          <w:rFonts w:ascii="Arial" w:hAnsi="Arial" w:cs="Arial"/>
          <w:b/>
        </w:rPr>
      </w:pPr>
    </w:p>
    <w:p w:rsidR="00CE7F19" w:rsidRDefault="00CE7F19" w:rsidP="00CE025B">
      <w:pPr>
        <w:pStyle w:val="Textoindependiente2"/>
        <w:jc w:val="both"/>
        <w:rPr>
          <w:b w:val="0"/>
          <w:sz w:val="18"/>
        </w:rPr>
      </w:pPr>
    </w:p>
    <w:p w:rsidR="00CE7F19" w:rsidRDefault="00CE7F19" w:rsidP="00CE025B">
      <w:pPr>
        <w:pStyle w:val="Textoindependiente2"/>
        <w:jc w:val="both"/>
        <w:rPr>
          <w:b w:val="0"/>
          <w:sz w:val="18"/>
        </w:rPr>
      </w:pPr>
    </w:p>
    <w:p w:rsidR="009C1594" w:rsidRDefault="009C1594" w:rsidP="009C1594">
      <w:pPr>
        <w:rPr>
          <w:rFonts w:ascii="Arial" w:hAnsi="Arial" w:cs="Arial"/>
          <w:b/>
        </w:rPr>
      </w:pPr>
    </w:p>
    <w:p w:rsidR="004A6701" w:rsidRPr="00122C16" w:rsidRDefault="004A6701" w:rsidP="009C1594">
      <w:pPr>
        <w:rPr>
          <w:rFonts w:ascii="Arial" w:hAnsi="Arial" w:cs="Arial"/>
          <w:b/>
        </w:rPr>
      </w:pPr>
    </w:p>
    <w:p w:rsidR="009C1594" w:rsidRPr="00122C16" w:rsidRDefault="009C1594" w:rsidP="009C1594">
      <w:pPr>
        <w:rPr>
          <w:rFonts w:ascii="Arial" w:hAnsi="Arial" w:cs="Arial"/>
          <w:b/>
        </w:rPr>
      </w:pPr>
    </w:p>
    <w:p w:rsidR="009C1594" w:rsidRPr="00122C16" w:rsidRDefault="009C1594" w:rsidP="009C1594">
      <w:pPr>
        <w:rPr>
          <w:rFonts w:ascii="Arial" w:hAnsi="Arial" w:cs="Arial"/>
          <w:b/>
        </w:rPr>
      </w:pPr>
    </w:p>
    <w:p w:rsidR="009C1594" w:rsidRPr="00122C16" w:rsidRDefault="009C1594" w:rsidP="009C1594">
      <w:pPr>
        <w:rPr>
          <w:rFonts w:ascii="Arial" w:hAnsi="Arial" w:cs="Arial"/>
        </w:rPr>
      </w:pPr>
    </w:p>
    <w:p w:rsidR="009C1594" w:rsidRPr="00122C16" w:rsidRDefault="009C1594" w:rsidP="009C1594">
      <w:pPr>
        <w:rPr>
          <w:rFonts w:ascii="Arial" w:hAnsi="Arial" w:cs="Arial"/>
        </w:rPr>
      </w:pPr>
      <w:r w:rsidRPr="00122C16">
        <w:rPr>
          <w:rFonts w:ascii="Arial" w:hAnsi="Arial" w:cs="Arial"/>
        </w:rPr>
        <w:t>EL SECRETARIO GENERAL  DEL H. SENADO DE LA REPUBLICA</w:t>
      </w:r>
    </w:p>
    <w:p w:rsidR="009C1594" w:rsidRPr="00122C16" w:rsidRDefault="009C1594" w:rsidP="009C1594">
      <w:pPr>
        <w:rPr>
          <w:rFonts w:ascii="Arial" w:hAnsi="Arial" w:cs="Arial"/>
        </w:rPr>
      </w:pPr>
    </w:p>
    <w:p w:rsidR="009C1594" w:rsidRPr="00122C16" w:rsidRDefault="009C1594" w:rsidP="009C1594">
      <w:pPr>
        <w:rPr>
          <w:rFonts w:ascii="Arial" w:hAnsi="Arial" w:cs="Arial"/>
        </w:rPr>
      </w:pPr>
    </w:p>
    <w:p w:rsidR="009C1594" w:rsidRDefault="009C1594" w:rsidP="009C1594">
      <w:pPr>
        <w:rPr>
          <w:rFonts w:ascii="Arial" w:hAnsi="Arial" w:cs="Arial"/>
        </w:rPr>
      </w:pPr>
    </w:p>
    <w:p w:rsidR="004A6701" w:rsidRDefault="004A6701" w:rsidP="009C1594">
      <w:pPr>
        <w:rPr>
          <w:rFonts w:ascii="Arial" w:hAnsi="Arial" w:cs="Arial"/>
        </w:rPr>
      </w:pPr>
    </w:p>
    <w:p w:rsidR="004A6701" w:rsidRDefault="004A6701" w:rsidP="009C1594">
      <w:pPr>
        <w:rPr>
          <w:rFonts w:ascii="Arial" w:hAnsi="Arial" w:cs="Arial"/>
        </w:rPr>
      </w:pPr>
    </w:p>
    <w:p w:rsidR="004A6701" w:rsidRPr="00122C16" w:rsidRDefault="004A6701" w:rsidP="009C1594">
      <w:pPr>
        <w:rPr>
          <w:rFonts w:ascii="Arial" w:hAnsi="Arial" w:cs="Arial"/>
        </w:rPr>
      </w:pPr>
    </w:p>
    <w:p w:rsidR="009C1594" w:rsidRPr="00122C16" w:rsidRDefault="009C1594" w:rsidP="009C1594">
      <w:pPr>
        <w:rPr>
          <w:rFonts w:ascii="Arial" w:hAnsi="Arial" w:cs="Arial"/>
        </w:rPr>
      </w:pPr>
    </w:p>
    <w:p w:rsidR="00F829FA" w:rsidRPr="00122C16" w:rsidRDefault="00F829FA" w:rsidP="009C1594">
      <w:pPr>
        <w:rPr>
          <w:rFonts w:ascii="Arial" w:hAnsi="Arial" w:cs="Arial"/>
        </w:rPr>
      </w:pPr>
    </w:p>
    <w:p w:rsidR="009C1594" w:rsidRPr="00122C16" w:rsidRDefault="009C1594" w:rsidP="009C1594">
      <w:pPr>
        <w:rPr>
          <w:rFonts w:ascii="Arial" w:hAnsi="Arial" w:cs="Arial"/>
          <w:b/>
        </w:rPr>
      </w:pPr>
      <w:r w:rsidRPr="00122C16">
        <w:rPr>
          <w:rFonts w:ascii="Arial" w:hAnsi="Arial" w:cs="Arial"/>
          <w:b/>
        </w:rPr>
        <w:t>GREGORIO ELJACH PACHECO</w:t>
      </w:r>
    </w:p>
    <w:p w:rsidR="00F829FA" w:rsidRPr="00122C16" w:rsidRDefault="00F829FA" w:rsidP="009C1594">
      <w:pPr>
        <w:rPr>
          <w:rFonts w:ascii="Arial" w:hAnsi="Arial" w:cs="Arial"/>
        </w:rPr>
      </w:pPr>
    </w:p>
    <w:p w:rsidR="009C1594" w:rsidRDefault="009C1594" w:rsidP="009C1594">
      <w:pPr>
        <w:rPr>
          <w:rFonts w:ascii="Arial" w:hAnsi="Arial" w:cs="Arial"/>
        </w:rPr>
      </w:pPr>
    </w:p>
    <w:p w:rsidR="005E584F" w:rsidRDefault="005E584F" w:rsidP="009C1594">
      <w:pPr>
        <w:rPr>
          <w:rFonts w:ascii="Arial" w:hAnsi="Arial" w:cs="Arial"/>
        </w:rPr>
      </w:pPr>
    </w:p>
    <w:p w:rsidR="004A6701" w:rsidRDefault="004A6701" w:rsidP="009C1594">
      <w:pPr>
        <w:rPr>
          <w:rFonts w:ascii="Arial" w:hAnsi="Arial" w:cs="Arial"/>
        </w:rPr>
      </w:pPr>
    </w:p>
    <w:p w:rsidR="004A6701" w:rsidRDefault="004A6701" w:rsidP="009C1594">
      <w:pPr>
        <w:rPr>
          <w:rFonts w:ascii="Arial" w:hAnsi="Arial" w:cs="Arial"/>
        </w:rPr>
      </w:pPr>
    </w:p>
    <w:p w:rsidR="004A6701" w:rsidRDefault="004A6701" w:rsidP="009C1594">
      <w:pPr>
        <w:rPr>
          <w:rFonts w:ascii="Arial" w:hAnsi="Arial" w:cs="Arial"/>
        </w:rPr>
      </w:pPr>
    </w:p>
    <w:p w:rsidR="004A6701" w:rsidRDefault="004A6701" w:rsidP="009C1594">
      <w:pPr>
        <w:rPr>
          <w:rFonts w:ascii="Arial" w:hAnsi="Arial" w:cs="Arial"/>
        </w:rPr>
      </w:pPr>
    </w:p>
    <w:p w:rsidR="004A6701" w:rsidRDefault="004A6701" w:rsidP="009C1594">
      <w:pPr>
        <w:rPr>
          <w:rFonts w:ascii="Arial" w:hAnsi="Arial" w:cs="Arial"/>
        </w:rPr>
      </w:pPr>
    </w:p>
    <w:p w:rsidR="004A6701" w:rsidRDefault="004A6701" w:rsidP="009C1594">
      <w:pPr>
        <w:rPr>
          <w:rFonts w:ascii="Arial" w:hAnsi="Arial" w:cs="Arial"/>
        </w:rPr>
      </w:pPr>
    </w:p>
    <w:p w:rsidR="00CE025B" w:rsidRDefault="00CE025B" w:rsidP="009C1594">
      <w:pPr>
        <w:rPr>
          <w:rFonts w:ascii="Arial" w:hAnsi="Arial" w:cs="Arial"/>
        </w:rPr>
      </w:pPr>
    </w:p>
    <w:p w:rsidR="005E584F" w:rsidRPr="00122C16" w:rsidRDefault="005E584F" w:rsidP="009C1594">
      <w:pPr>
        <w:rPr>
          <w:rFonts w:ascii="Arial" w:hAnsi="Arial" w:cs="Arial"/>
        </w:rPr>
      </w:pPr>
    </w:p>
    <w:p w:rsidR="009C1594" w:rsidRPr="00122C16" w:rsidRDefault="009C1594" w:rsidP="009C1594">
      <w:pPr>
        <w:rPr>
          <w:rFonts w:ascii="Arial" w:hAnsi="Arial" w:cs="Arial"/>
        </w:rPr>
      </w:pPr>
      <w:r w:rsidRPr="00122C16">
        <w:rPr>
          <w:rFonts w:ascii="Arial" w:hAnsi="Arial" w:cs="Arial"/>
        </w:rPr>
        <w:t>EL PRESIDENTE DE LA H. CÁMARA DE REPRESENTANTES</w:t>
      </w:r>
    </w:p>
    <w:p w:rsidR="009C1594" w:rsidRPr="00122C16" w:rsidRDefault="009C1594" w:rsidP="009C1594">
      <w:pPr>
        <w:rPr>
          <w:rFonts w:ascii="Arial" w:hAnsi="Arial" w:cs="Arial"/>
        </w:rPr>
      </w:pPr>
    </w:p>
    <w:p w:rsidR="009C1594" w:rsidRPr="00122C16" w:rsidRDefault="009C1594" w:rsidP="009C1594">
      <w:pPr>
        <w:rPr>
          <w:rFonts w:ascii="Arial" w:hAnsi="Arial" w:cs="Arial"/>
        </w:rPr>
      </w:pPr>
    </w:p>
    <w:p w:rsidR="009C1594" w:rsidRDefault="009C1594" w:rsidP="009C1594">
      <w:pPr>
        <w:rPr>
          <w:rFonts w:ascii="Arial" w:hAnsi="Arial" w:cs="Arial"/>
        </w:rPr>
      </w:pPr>
    </w:p>
    <w:p w:rsidR="004A6701" w:rsidRDefault="004A6701" w:rsidP="009C1594">
      <w:pPr>
        <w:rPr>
          <w:rFonts w:ascii="Arial" w:hAnsi="Arial" w:cs="Arial"/>
        </w:rPr>
      </w:pPr>
    </w:p>
    <w:p w:rsidR="004A6701" w:rsidRDefault="004A6701" w:rsidP="009C1594">
      <w:pPr>
        <w:rPr>
          <w:rFonts w:ascii="Arial" w:hAnsi="Arial" w:cs="Arial"/>
        </w:rPr>
      </w:pPr>
    </w:p>
    <w:p w:rsidR="004A6701" w:rsidRPr="00122C16" w:rsidRDefault="004A6701" w:rsidP="009C1594">
      <w:pPr>
        <w:rPr>
          <w:rFonts w:ascii="Arial" w:hAnsi="Arial" w:cs="Arial"/>
        </w:rPr>
      </w:pPr>
    </w:p>
    <w:p w:rsidR="009C1594" w:rsidRPr="00122C16" w:rsidRDefault="009C1594" w:rsidP="009C1594">
      <w:pPr>
        <w:rPr>
          <w:rFonts w:ascii="Arial" w:hAnsi="Arial" w:cs="Arial"/>
        </w:rPr>
      </w:pPr>
    </w:p>
    <w:p w:rsidR="009C1594" w:rsidRPr="00122C16" w:rsidRDefault="009C1594" w:rsidP="009C1594">
      <w:pPr>
        <w:rPr>
          <w:rFonts w:ascii="Arial" w:hAnsi="Arial" w:cs="Arial"/>
        </w:rPr>
      </w:pPr>
    </w:p>
    <w:p w:rsidR="004E15FF" w:rsidRPr="001A7C5F" w:rsidRDefault="004E15FF" w:rsidP="004E15FF">
      <w:pPr>
        <w:rPr>
          <w:rFonts w:ascii="Arial" w:hAnsi="Arial" w:cs="Arial"/>
          <w:b/>
        </w:rPr>
      </w:pPr>
      <w:r w:rsidRPr="001A7C5F">
        <w:rPr>
          <w:rFonts w:ascii="Arial" w:hAnsi="Arial" w:cs="Arial"/>
          <w:b/>
        </w:rPr>
        <w:t>GERMÁN ALCIDES BLANCO ÁLVAREZ</w:t>
      </w:r>
    </w:p>
    <w:p w:rsidR="009C1594" w:rsidRPr="00122C16" w:rsidRDefault="009C1594" w:rsidP="009C1594">
      <w:pPr>
        <w:rPr>
          <w:rFonts w:ascii="Arial" w:hAnsi="Arial" w:cs="Arial"/>
        </w:rPr>
      </w:pPr>
    </w:p>
    <w:p w:rsidR="009C1594" w:rsidRPr="00122C16" w:rsidRDefault="009C1594" w:rsidP="009C1594">
      <w:pPr>
        <w:rPr>
          <w:rFonts w:ascii="Arial" w:hAnsi="Arial" w:cs="Arial"/>
        </w:rPr>
      </w:pPr>
    </w:p>
    <w:p w:rsidR="009C1594" w:rsidRDefault="009C1594" w:rsidP="009C1594">
      <w:pPr>
        <w:rPr>
          <w:rFonts w:ascii="Arial" w:hAnsi="Arial" w:cs="Arial"/>
        </w:rPr>
      </w:pPr>
    </w:p>
    <w:p w:rsidR="004A6701" w:rsidRDefault="004A6701" w:rsidP="009C1594">
      <w:pPr>
        <w:rPr>
          <w:rFonts w:ascii="Arial" w:hAnsi="Arial" w:cs="Arial"/>
        </w:rPr>
      </w:pPr>
    </w:p>
    <w:p w:rsidR="004A6701" w:rsidRPr="00122C16" w:rsidRDefault="004A6701" w:rsidP="009C1594">
      <w:pPr>
        <w:rPr>
          <w:rFonts w:ascii="Arial" w:hAnsi="Arial" w:cs="Arial"/>
        </w:rPr>
      </w:pPr>
    </w:p>
    <w:p w:rsidR="009C1594" w:rsidRPr="00122C16" w:rsidRDefault="009C1594" w:rsidP="009C1594">
      <w:pPr>
        <w:rPr>
          <w:rFonts w:ascii="Arial" w:hAnsi="Arial" w:cs="Arial"/>
        </w:rPr>
      </w:pPr>
    </w:p>
    <w:p w:rsidR="009C1594" w:rsidRPr="00122C16" w:rsidRDefault="009C1594" w:rsidP="009C1594">
      <w:pPr>
        <w:rPr>
          <w:rFonts w:ascii="Arial" w:hAnsi="Arial" w:cs="Arial"/>
        </w:rPr>
      </w:pPr>
    </w:p>
    <w:p w:rsidR="009C1594" w:rsidRPr="00122C16" w:rsidRDefault="009C1594" w:rsidP="009C1594">
      <w:pPr>
        <w:rPr>
          <w:rFonts w:ascii="Arial" w:hAnsi="Arial" w:cs="Arial"/>
        </w:rPr>
      </w:pPr>
      <w:r w:rsidRPr="00122C16">
        <w:rPr>
          <w:rFonts w:ascii="Arial" w:hAnsi="Arial" w:cs="Arial"/>
        </w:rPr>
        <w:t>EL SECRETARIO GENERAL DE LA H. CÁMARA DE REPRESENTANTES</w:t>
      </w:r>
    </w:p>
    <w:p w:rsidR="009C1594" w:rsidRPr="00CE025B" w:rsidRDefault="009C1594" w:rsidP="009C1594">
      <w:pPr>
        <w:rPr>
          <w:rFonts w:ascii="Arial" w:hAnsi="Arial" w:cs="Arial"/>
          <w:b/>
        </w:rPr>
      </w:pPr>
    </w:p>
    <w:p w:rsidR="009C1594" w:rsidRPr="00CE025B" w:rsidRDefault="009C1594" w:rsidP="009C1594">
      <w:pPr>
        <w:rPr>
          <w:rFonts w:ascii="Arial" w:hAnsi="Arial" w:cs="Arial"/>
          <w:b/>
        </w:rPr>
      </w:pPr>
    </w:p>
    <w:p w:rsidR="009C1594" w:rsidRPr="00CE025B" w:rsidRDefault="009C1594" w:rsidP="009C1594">
      <w:pPr>
        <w:rPr>
          <w:rFonts w:ascii="Arial" w:hAnsi="Arial" w:cs="Arial"/>
          <w:b/>
        </w:rPr>
      </w:pPr>
    </w:p>
    <w:p w:rsidR="009C1594" w:rsidRDefault="009C1594" w:rsidP="009C1594">
      <w:pPr>
        <w:rPr>
          <w:rFonts w:ascii="Arial" w:hAnsi="Arial" w:cs="Arial"/>
          <w:b/>
        </w:rPr>
      </w:pPr>
    </w:p>
    <w:p w:rsidR="004A6701" w:rsidRDefault="004A6701" w:rsidP="009C1594">
      <w:pPr>
        <w:rPr>
          <w:rFonts w:ascii="Arial" w:hAnsi="Arial" w:cs="Arial"/>
          <w:b/>
        </w:rPr>
      </w:pPr>
    </w:p>
    <w:p w:rsidR="004A6701" w:rsidRDefault="004A6701" w:rsidP="009C1594">
      <w:pPr>
        <w:rPr>
          <w:rFonts w:ascii="Arial" w:hAnsi="Arial" w:cs="Arial"/>
          <w:b/>
        </w:rPr>
      </w:pPr>
    </w:p>
    <w:p w:rsidR="004A6701" w:rsidRPr="00CE025B" w:rsidRDefault="004A6701" w:rsidP="009C1594">
      <w:pPr>
        <w:rPr>
          <w:rFonts w:ascii="Arial" w:hAnsi="Arial" w:cs="Arial"/>
          <w:b/>
        </w:rPr>
      </w:pPr>
    </w:p>
    <w:p w:rsidR="009C1594" w:rsidRPr="00122C16" w:rsidRDefault="009C1594" w:rsidP="009C1594">
      <w:pPr>
        <w:rPr>
          <w:rFonts w:ascii="Arial" w:hAnsi="Arial" w:cs="Arial"/>
          <w:b/>
        </w:rPr>
      </w:pPr>
    </w:p>
    <w:p w:rsidR="009C1594" w:rsidRPr="00122C16" w:rsidRDefault="009C1594" w:rsidP="009C1594">
      <w:pPr>
        <w:rPr>
          <w:rFonts w:ascii="Arial" w:hAnsi="Arial" w:cs="Arial"/>
        </w:rPr>
      </w:pPr>
      <w:r w:rsidRPr="00122C16">
        <w:rPr>
          <w:rFonts w:ascii="Arial" w:hAnsi="Arial" w:cs="Arial"/>
          <w:b/>
        </w:rPr>
        <w:t>JORGE HUMBERTO MANTILLA SERRANO</w:t>
      </w:r>
    </w:p>
    <w:p w:rsidR="00E30583" w:rsidRDefault="00E30583"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Default="00CE7F19" w:rsidP="009C1594">
      <w:pPr>
        <w:rPr>
          <w:rFonts w:ascii="Arial" w:hAnsi="Arial" w:cs="Arial"/>
          <w:b/>
        </w:rPr>
      </w:pPr>
    </w:p>
    <w:p w:rsidR="00CE7F19" w:rsidRPr="00122C16" w:rsidRDefault="00CE7F19" w:rsidP="009C1594">
      <w:pPr>
        <w:rPr>
          <w:rFonts w:ascii="Arial" w:hAnsi="Arial" w:cs="Arial"/>
          <w:b/>
        </w:rPr>
      </w:pPr>
    </w:p>
    <w:sectPr w:rsidR="00CE7F19" w:rsidRPr="00122C16" w:rsidSect="00CE35E6">
      <w:footerReference w:type="default" r:id="rId7"/>
      <w:pgSz w:w="12242" w:h="20163" w:code="5"/>
      <w:pgMar w:top="2041" w:right="1814" w:bottom="2438" w:left="1814" w:header="709" w:footer="16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3F" w:rsidRDefault="0017473F">
      <w:r>
        <w:separator/>
      </w:r>
    </w:p>
  </w:endnote>
  <w:endnote w:type="continuationSeparator" w:id="0">
    <w:p w:rsidR="0017473F" w:rsidRDefault="0017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502021"/>
      <w:docPartObj>
        <w:docPartGallery w:val="Page Numbers (Bottom of Page)"/>
        <w:docPartUnique/>
      </w:docPartObj>
    </w:sdtPr>
    <w:sdtEndPr/>
    <w:sdtContent>
      <w:p w:rsidR="00CE35E6" w:rsidRDefault="00CE35E6">
        <w:pPr>
          <w:pStyle w:val="Piedepgina"/>
          <w:jc w:val="right"/>
        </w:pPr>
        <w:r>
          <w:fldChar w:fldCharType="begin"/>
        </w:r>
        <w:r>
          <w:instrText>PAGE   \* MERGEFORMAT</w:instrText>
        </w:r>
        <w:r>
          <w:fldChar w:fldCharType="separate"/>
        </w:r>
        <w:r w:rsidR="00460875">
          <w:rPr>
            <w:noProof/>
          </w:rPr>
          <w:t>5</w:t>
        </w:r>
        <w:r>
          <w:fldChar w:fldCharType="end"/>
        </w:r>
      </w:p>
    </w:sdtContent>
  </w:sdt>
  <w:p w:rsidR="00CE35E6" w:rsidRDefault="00CE35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3F" w:rsidRDefault="0017473F">
      <w:r>
        <w:separator/>
      </w:r>
    </w:p>
  </w:footnote>
  <w:footnote w:type="continuationSeparator" w:id="0">
    <w:p w:rsidR="0017473F" w:rsidRDefault="00174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5639"/>
    <w:multiLevelType w:val="hybridMultilevel"/>
    <w:tmpl w:val="3A0C36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0F"/>
    <w:rsid w:val="00010A9D"/>
    <w:rsid w:val="00015EC3"/>
    <w:rsid w:val="000841FB"/>
    <w:rsid w:val="00097056"/>
    <w:rsid w:val="000B5834"/>
    <w:rsid w:val="000C79EA"/>
    <w:rsid w:val="000E150F"/>
    <w:rsid w:val="00104E99"/>
    <w:rsid w:val="00122C16"/>
    <w:rsid w:val="00131EEE"/>
    <w:rsid w:val="00136705"/>
    <w:rsid w:val="0017473F"/>
    <w:rsid w:val="00176D9D"/>
    <w:rsid w:val="00192417"/>
    <w:rsid w:val="001A7C3A"/>
    <w:rsid w:val="001B6736"/>
    <w:rsid w:val="001F2556"/>
    <w:rsid w:val="00232375"/>
    <w:rsid w:val="00250B12"/>
    <w:rsid w:val="00253238"/>
    <w:rsid w:val="002862B0"/>
    <w:rsid w:val="002D0A35"/>
    <w:rsid w:val="002E5B82"/>
    <w:rsid w:val="00324A78"/>
    <w:rsid w:val="003271A8"/>
    <w:rsid w:val="0033751A"/>
    <w:rsid w:val="003472C5"/>
    <w:rsid w:val="00347549"/>
    <w:rsid w:val="0039576F"/>
    <w:rsid w:val="003F754F"/>
    <w:rsid w:val="003F7AD9"/>
    <w:rsid w:val="004414B2"/>
    <w:rsid w:val="00457FDA"/>
    <w:rsid w:val="00460875"/>
    <w:rsid w:val="004A6701"/>
    <w:rsid w:val="004D0379"/>
    <w:rsid w:val="004E15FF"/>
    <w:rsid w:val="004F30E7"/>
    <w:rsid w:val="005151FF"/>
    <w:rsid w:val="0051676A"/>
    <w:rsid w:val="005232C8"/>
    <w:rsid w:val="005533CC"/>
    <w:rsid w:val="0057740F"/>
    <w:rsid w:val="0059195C"/>
    <w:rsid w:val="005C0269"/>
    <w:rsid w:val="005C1E4D"/>
    <w:rsid w:val="005E584F"/>
    <w:rsid w:val="0060407D"/>
    <w:rsid w:val="006237AC"/>
    <w:rsid w:val="0068423E"/>
    <w:rsid w:val="006D77C8"/>
    <w:rsid w:val="0074605E"/>
    <w:rsid w:val="007565D6"/>
    <w:rsid w:val="007615D0"/>
    <w:rsid w:val="00770A34"/>
    <w:rsid w:val="007A44A3"/>
    <w:rsid w:val="008809BB"/>
    <w:rsid w:val="00895E85"/>
    <w:rsid w:val="008978DE"/>
    <w:rsid w:val="00934E99"/>
    <w:rsid w:val="00936187"/>
    <w:rsid w:val="00946DC9"/>
    <w:rsid w:val="009C1594"/>
    <w:rsid w:val="009F3444"/>
    <w:rsid w:val="00A0371F"/>
    <w:rsid w:val="00A1461D"/>
    <w:rsid w:val="00A347C8"/>
    <w:rsid w:val="00A72B2D"/>
    <w:rsid w:val="00A902D4"/>
    <w:rsid w:val="00AA161B"/>
    <w:rsid w:val="00AA57E2"/>
    <w:rsid w:val="00AB2718"/>
    <w:rsid w:val="00AB3548"/>
    <w:rsid w:val="00B15E4E"/>
    <w:rsid w:val="00B21994"/>
    <w:rsid w:val="00B2345A"/>
    <w:rsid w:val="00B709DC"/>
    <w:rsid w:val="00B8456A"/>
    <w:rsid w:val="00BB48C2"/>
    <w:rsid w:val="00BE25C8"/>
    <w:rsid w:val="00BE39A8"/>
    <w:rsid w:val="00C3207C"/>
    <w:rsid w:val="00C72C29"/>
    <w:rsid w:val="00CA3078"/>
    <w:rsid w:val="00CB18D1"/>
    <w:rsid w:val="00CC0E99"/>
    <w:rsid w:val="00CE025B"/>
    <w:rsid w:val="00CE35E6"/>
    <w:rsid w:val="00CE7F19"/>
    <w:rsid w:val="00CF5B98"/>
    <w:rsid w:val="00D05513"/>
    <w:rsid w:val="00D213F4"/>
    <w:rsid w:val="00D41949"/>
    <w:rsid w:val="00D65693"/>
    <w:rsid w:val="00DC2867"/>
    <w:rsid w:val="00E20AA9"/>
    <w:rsid w:val="00E27886"/>
    <w:rsid w:val="00E30583"/>
    <w:rsid w:val="00E309D1"/>
    <w:rsid w:val="00E6059E"/>
    <w:rsid w:val="00E62620"/>
    <w:rsid w:val="00EA0CDD"/>
    <w:rsid w:val="00EA6749"/>
    <w:rsid w:val="00EB1E64"/>
    <w:rsid w:val="00EE7B2F"/>
    <w:rsid w:val="00EF735A"/>
    <w:rsid w:val="00F209A9"/>
    <w:rsid w:val="00F829FA"/>
    <w:rsid w:val="00FC1A9C"/>
    <w:rsid w:val="00FD28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6D0866-9AA0-418B-B263-B68849E1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40"/>
    </w:rPr>
  </w:style>
  <w:style w:type="paragraph" w:styleId="Ttulo2">
    <w:name w:val="heading 2"/>
    <w:basedOn w:val="Normal"/>
    <w:next w:val="Normal"/>
    <w:qFormat/>
    <w:pPr>
      <w:keepNext/>
      <w:jc w:val="both"/>
      <w:outlineLvl w:val="1"/>
    </w:pPr>
    <w:rPr>
      <w:rFonts w:ascii="Arial" w:hAnsi="Arial" w:cs="Arial"/>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rPr>
  </w:style>
  <w:style w:type="paragraph" w:styleId="Textoindependiente2">
    <w:name w:val="Body Text 2"/>
    <w:basedOn w:val="Normal"/>
    <w:link w:val="Textoindependiente2Car"/>
    <w:pPr>
      <w:jc w:val="center"/>
    </w:pPr>
    <w:rPr>
      <w:rFonts w:ascii="Arial" w:hAnsi="Arial" w:cs="Arial"/>
      <w:b/>
      <w:bCs/>
      <w:sz w:val="28"/>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NormalWeb">
    <w:name w:val="Normal (Web)"/>
    <w:basedOn w:val="Normal"/>
    <w:uiPriority w:val="99"/>
    <w:pPr>
      <w:spacing w:before="100" w:beforeAutospacing="1" w:after="100" w:afterAutospacing="1"/>
    </w:pPr>
  </w:style>
  <w:style w:type="paragraph" w:customStyle="1" w:styleId="TxBrp4">
    <w:name w:val="TxBr_p4"/>
    <w:basedOn w:val="Normal"/>
    <w:pPr>
      <w:tabs>
        <w:tab w:val="left" w:pos="527"/>
      </w:tabs>
      <w:spacing w:line="198" w:lineRule="atLeast"/>
      <w:ind w:firstLine="192"/>
      <w:jc w:val="both"/>
    </w:pPr>
    <w:rPr>
      <w:rFonts w:cs="Arial"/>
      <w:snapToGrid w:val="0"/>
    </w:rPr>
  </w:style>
  <w:style w:type="character" w:customStyle="1" w:styleId="spelle">
    <w:name w:val="spelle"/>
    <w:basedOn w:val="Fuentedeprrafopredeter"/>
    <w:rsid w:val="000E150F"/>
  </w:style>
  <w:style w:type="character" w:customStyle="1" w:styleId="grame">
    <w:name w:val="grame"/>
    <w:basedOn w:val="Fuentedeprrafopredeter"/>
    <w:rsid w:val="000E150F"/>
  </w:style>
  <w:style w:type="character" w:customStyle="1" w:styleId="EncabezadoCar">
    <w:name w:val="Encabezado Car"/>
    <w:link w:val="Encabezado"/>
    <w:rsid w:val="00010A9D"/>
    <w:rPr>
      <w:sz w:val="24"/>
      <w:szCs w:val="24"/>
    </w:rPr>
  </w:style>
  <w:style w:type="paragraph" w:styleId="Textodeglobo">
    <w:name w:val="Balloon Text"/>
    <w:basedOn w:val="Normal"/>
    <w:link w:val="TextodegloboCar"/>
    <w:rsid w:val="00010A9D"/>
    <w:rPr>
      <w:rFonts w:ascii="Tahoma" w:hAnsi="Tahoma" w:cs="Tahoma"/>
      <w:sz w:val="16"/>
      <w:szCs w:val="16"/>
    </w:rPr>
  </w:style>
  <w:style w:type="character" w:customStyle="1" w:styleId="TextodegloboCar">
    <w:name w:val="Texto de globo Car"/>
    <w:link w:val="Textodeglobo"/>
    <w:rsid w:val="00010A9D"/>
    <w:rPr>
      <w:rFonts w:ascii="Tahoma" w:hAnsi="Tahoma" w:cs="Tahoma"/>
      <w:sz w:val="16"/>
      <w:szCs w:val="16"/>
    </w:rPr>
  </w:style>
  <w:style w:type="paragraph" w:styleId="Prrafodelista">
    <w:name w:val="List Paragraph"/>
    <w:basedOn w:val="Normal"/>
    <w:uiPriority w:val="34"/>
    <w:qFormat/>
    <w:rsid w:val="00B8456A"/>
    <w:pPr>
      <w:ind w:left="720"/>
      <w:contextualSpacing/>
    </w:pPr>
    <w:rPr>
      <w:rFonts w:ascii="Calibri" w:hAnsi="Calibri"/>
      <w:lang w:val="es-ES_tradnl" w:eastAsia="ja-JP"/>
    </w:rPr>
  </w:style>
  <w:style w:type="character" w:customStyle="1" w:styleId="PiedepginaCar">
    <w:name w:val="Pie de página Car"/>
    <w:basedOn w:val="Fuentedeprrafopredeter"/>
    <w:link w:val="Piedepgina"/>
    <w:uiPriority w:val="99"/>
    <w:rsid w:val="00CE35E6"/>
    <w:rPr>
      <w:sz w:val="24"/>
      <w:szCs w:val="24"/>
      <w:lang w:val="es-ES" w:eastAsia="es-ES"/>
    </w:rPr>
  </w:style>
  <w:style w:type="paragraph" w:customStyle="1" w:styleId="prrafosestlosgacetas">
    <w:name w:val="prrafosestlosgacetas"/>
    <w:basedOn w:val="Normal"/>
    <w:rsid w:val="00250B12"/>
    <w:pPr>
      <w:spacing w:before="100" w:beforeAutospacing="1" w:after="100" w:afterAutospacing="1"/>
    </w:pPr>
    <w:rPr>
      <w:lang w:val="es-CO" w:eastAsia="es-CO"/>
    </w:rPr>
  </w:style>
  <w:style w:type="character" w:customStyle="1" w:styleId="Textoindependiente2Car">
    <w:name w:val="Texto independiente 2 Car"/>
    <w:basedOn w:val="Fuentedeprrafopredeter"/>
    <w:link w:val="Textoindependiente2"/>
    <w:rsid w:val="00F829FA"/>
    <w:rPr>
      <w:rFonts w:ascii="Arial" w:hAnsi="Arial" w:cs="Arial"/>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4192">
      <w:bodyDiv w:val="1"/>
      <w:marLeft w:val="0"/>
      <w:marRight w:val="0"/>
      <w:marTop w:val="0"/>
      <w:marBottom w:val="0"/>
      <w:divBdr>
        <w:top w:val="none" w:sz="0" w:space="0" w:color="auto"/>
        <w:left w:val="none" w:sz="0" w:space="0" w:color="auto"/>
        <w:bottom w:val="none" w:sz="0" w:space="0" w:color="auto"/>
        <w:right w:val="none" w:sz="0" w:space="0" w:color="auto"/>
      </w:divBdr>
    </w:div>
    <w:div w:id="867835245">
      <w:bodyDiv w:val="1"/>
      <w:marLeft w:val="0"/>
      <w:marRight w:val="0"/>
      <w:marTop w:val="0"/>
      <w:marBottom w:val="0"/>
      <w:divBdr>
        <w:top w:val="none" w:sz="0" w:space="0" w:color="auto"/>
        <w:left w:val="none" w:sz="0" w:space="0" w:color="auto"/>
        <w:bottom w:val="none" w:sz="0" w:space="0" w:color="auto"/>
        <w:right w:val="none" w:sz="0" w:space="0" w:color="auto"/>
      </w:divBdr>
      <w:divsChild>
        <w:div w:id="903487331">
          <w:marLeft w:val="0"/>
          <w:marRight w:val="0"/>
          <w:marTop w:val="0"/>
          <w:marBottom w:val="0"/>
          <w:divBdr>
            <w:top w:val="none" w:sz="0" w:space="0" w:color="auto"/>
            <w:left w:val="none" w:sz="0" w:space="0" w:color="auto"/>
            <w:bottom w:val="none" w:sz="0" w:space="0" w:color="auto"/>
            <w:right w:val="none" w:sz="0" w:space="0" w:color="auto"/>
          </w:divBdr>
        </w:div>
      </w:divsChild>
    </w:div>
    <w:div w:id="1183207234">
      <w:bodyDiv w:val="1"/>
      <w:marLeft w:val="0"/>
      <w:marRight w:val="0"/>
      <w:marTop w:val="0"/>
      <w:marBottom w:val="0"/>
      <w:divBdr>
        <w:top w:val="none" w:sz="0" w:space="0" w:color="auto"/>
        <w:left w:val="none" w:sz="0" w:space="0" w:color="auto"/>
        <w:bottom w:val="none" w:sz="0" w:space="0" w:color="auto"/>
        <w:right w:val="none" w:sz="0" w:space="0" w:color="auto"/>
      </w:divBdr>
    </w:div>
    <w:div w:id="1248924250">
      <w:bodyDiv w:val="1"/>
      <w:marLeft w:val="0"/>
      <w:marRight w:val="0"/>
      <w:marTop w:val="0"/>
      <w:marBottom w:val="0"/>
      <w:divBdr>
        <w:top w:val="none" w:sz="0" w:space="0" w:color="auto"/>
        <w:left w:val="none" w:sz="0" w:space="0" w:color="auto"/>
        <w:bottom w:val="none" w:sz="0" w:space="0" w:color="auto"/>
        <w:right w:val="none" w:sz="0" w:space="0" w:color="auto"/>
      </w:divBdr>
      <w:divsChild>
        <w:div w:id="1468039029">
          <w:marLeft w:val="0"/>
          <w:marRight w:val="0"/>
          <w:marTop w:val="0"/>
          <w:marBottom w:val="0"/>
          <w:divBdr>
            <w:top w:val="none" w:sz="0" w:space="0" w:color="auto"/>
            <w:left w:val="none" w:sz="0" w:space="0" w:color="auto"/>
            <w:bottom w:val="none" w:sz="0" w:space="0" w:color="auto"/>
            <w:right w:val="none" w:sz="0" w:space="0" w:color="auto"/>
          </w:divBdr>
        </w:div>
      </w:divsChild>
    </w:div>
    <w:div w:id="1372152390">
      <w:bodyDiv w:val="1"/>
      <w:marLeft w:val="0"/>
      <w:marRight w:val="0"/>
      <w:marTop w:val="0"/>
      <w:marBottom w:val="0"/>
      <w:divBdr>
        <w:top w:val="none" w:sz="0" w:space="0" w:color="auto"/>
        <w:left w:val="none" w:sz="0" w:space="0" w:color="auto"/>
        <w:bottom w:val="none" w:sz="0" w:space="0" w:color="auto"/>
        <w:right w:val="none" w:sz="0" w:space="0" w:color="auto"/>
      </w:divBdr>
    </w:div>
    <w:div w:id="1550650967">
      <w:bodyDiv w:val="1"/>
      <w:marLeft w:val="0"/>
      <w:marRight w:val="0"/>
      <w:marTop w:val="0"/>
      <w:marBottom w:val="0"/>
      <w:divBdr>
        <w:top w:val="none" w:sz="0" w:space="0" w:color="auto"/>
        <w:left w:val="none" w:sz="0" w:space="0" w:color="auto"/>
        <w:bottom w:val="none" w:sz="0" w:space="0" w:color="auto"/>
        <w:right w:val="none" w:sz="0" w:space="0" w:color="auto"/>
      </w:divBdr>
    </w:div>
    <w:div w:id="1663391128">
      <w:bodyDiv w:val="1"/>
      <w:marLeft w:val="0"/>
      <w:marRight w:val="0"/>
      <w:marTop w:val="0"/>
      <w:marBottom w:val="0"/>
      <w:divBdr>
        <w:top w:val="none" w:sz="0" w:space="0" w:color="auto"/>
        <w:left w:val="none" w:sz="0" w:space="0" w:color="auto"/>
        <w:bottom w:val="none" w:sz="0" w:space="0" w:color="auto"/>
        <w:right w:val="none" w:sz="0" w:space="0" w:color="auto"/>
      </w:divBdr>
    </w:div>
    <w:div w:id="1676419475">
      <w:bodyDiv w:val="1"/>
      <w:marLeft w:val="0"/>
      <w:marRight w:val="0"/>
      <w:marTop w:val="0"/>
      <w:marBottom w:val="0"/>
      <w:divBdr>
        <w:top w:val="none" w:sz="0" w:space="0" w:color="auto"/>
        <w:left w:val="none" w:sz="0" w:space="0" w:color="auto"/>
        <w:bottom w:val="none" w:sz="0" w:space="0" w:color="auto"/>
        <w:right w:val="none" w:sz="0" w:space="0" w:color="auto"/>
      </w:divBdr>
    </w:div>
    <w:div w:id="1758135269">
      <w:bodyDiv w:val="1"/>
      <w:marLeft w:val="0"/>
      <w:marRight w:val="0"/>
      <w:marTop w:val="0"/>
      <w:marBottom w:val="0"/>
      <w:divBdr>
        <w:top w:val="none" w:sz="0" w:space="0" w:color="auto"/>
        <w:left w:val="none" w:sz="0" w:space="0" w:color="auto"/>
        <w:bottom w:val="none" w:sz="0" w:space="0" w:color="auto"/>
        <w:right w:val="none" w:sz="0" w:space="0" w:color="auto"/>
      </w:divBdr>
    </w:div>
    <w:div w:id="1923248285">
      <w:bodyDiv w:val="1"/>
      <w:marLeft w:val="0"/>
      <w:marRight w:val="0"/>
      <w:marTop w:val="0"/>
      <w:marBottom w:val="0"/>
      <w:divBdr>
        <w:top w:val="none" w:sz="0" w:space="0" w:color="auto"/>
        <w:left w:val="none" w:sz="0" w:space="0" w:color="auto"/>
        <w:bottom w:val="none" w:sz="0" w:space="0" w:color="auto"/>
        <w:right w:val="none" w:sz="0" w:space="0" w:color="auto"/>
      </w:divBdr>
    </w:div>
    <w:div w:id="2013606233">
      <w:bodyDiv w:val="1"/>
      <w:marLeft w:val="0"/>
      <w:marRight w:val="0"/>
      <w:marTop w:val="0"/>
      <w:marBottom w:val="0"/>
      <w:divBdr>
        <w:top w:val="none" w:sz="0" w:space="0" w:color="auto"/>
        <w:left w:val="none" w:sz="0" w:space="0" w:color="auto"/>
        <w:bottom w:val="none" w:sz="0" w:space="0" w:color="auto"/>
        <w:right w:val="none" w:sz="0" w:space="0" w:color="auto"/>
      </w:divBdr>
      <w:divsChild>
        <w:div w:id="214296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2671</Words>
  <Characters>14696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LEY No</vt:lpstr>
    </vt:vector>
  </TitlesOfParts>
  <Company>CONGRESO DE LA REPUBLICA</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No</dc:title>
  <dc:creator>SENADO DE LA REPUBLICA</dc:creator>
  <cp:lastModifiedBy>Mauro</cp:lastModifiedBy>
  <cp:revision>31</cp:revision>
  <cp:lastPrinted>2021-05-24T16:50:00Z</cp:lastPrinted>
  <dcterms:created xsi:type="dcterms:W3CDTF">2016-06-08T20:23:00Z</dcterms:created>
  <dcterms:modified xsi:type="dcterms:W3CDTF">2021-05-28T17:51:00Z</dcterms:modified>
</cp:coreProperties>
</file>